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D" w:rsidRPr="00266A9D" w:rsidRDefault="00266A9D" w:rsidP="00266A9D">
      <w:pPr>
        <w:ind w:firstLine="0"/>
        <w:outlineLvl w:val="0"/>
        <w:rPr>
          <w:rFonts w:ascii="Book Antiqua" w:eastAsia="Times New Roman" w:hAnsi="Book Antiqua" w:cs="Times New Roman"/>
          <w:bCs/>
          <w:color w:val="000000"/>
          <w:spacing w:val="-10"/>
          <w:kern w:val="36"/>
          <w:sz w:val="36"/>
          <w:szCs w:val="36"/>
          <w:lang w:eastAsia="hu-HU"/>
        </w:rPr>
      </w:pPr>
      <w:r w:rsidRPr="00266A9D">
        <w:rPr>
          <w:rFonts w:ascii="Book Antiqua" w:eastAsia="Times New Roman" w:hAnsi="Book Antiqua" w:cs="Times New Roman"/>
          <w:bCs/>
          <w:color w:val="000000"/>
          <w:spacing w:val="-10"/>
          <w:kern w:val="36"/>
          <w:sz w:val="36"/>
          <w:szCs w:val="36"/>
          <w:lang w:eastAsia="hu-HU"/>
        </w:rPr>
        <w:t>Romsics Ignác</w:t>
      </w:r>
    </w:p>
    <w:p w:rsidR="00266A9D" w:rsidRPr="00266A9D" w:rsidRDefault="00266A9D" w:rsidP="00266A9D">
      <w:pPr>
        <w:spacing w:after="120" w:line="240" w:lineRule="auto"/>
        <w:ind w:firstLine="0"/>
        <w:outlineLvl w:val="0"/>
        <w:rPr>
          <w:rFonts w:ascii="Book Antiqua" w:eastAsia="Times New Roman" w:hAnsi="Book Antiqua" w:cs="Times New Roman"/>
          <w:bCs/>
          <w:i/>
          <w:color w:val="000000"/>
          <w:spacing w:val="-10"/>
          <w:kern w:val="36"/>
          <w:sz w:val="40"/>
          <w:szCs w:val="40"/>
          <w:lang w:eastAsia="hu-HU"/>
        </w:rPr>
      </w:pPr>
      <w:r w:rsidRPr="00266A9D">
        <w:rPr>
          <w:rFonts w:ascii="Book Antiqua" w:eastAsia="Times New Roman" w:hAnsi="Book Antiqua" w:cs="Times New Roman"/>
          <w:bCs/>
          <w:i/>
          <w:color w:val="000000"/>
          <w:spacing w:val="-10"/>
          <w:kern w:val="36"/>
          <w:sz w:val="40"/>
          <w:szCs w:val="40"/>
          <w:lang w:eastAsia="hu-HU"/>
        </w:rPr>
        <w:t xml:space="preserve">Trianon okairól </w:t>
      </w:r>
    </w:p>
    <w:p w:rsidR="00C90AB5" w:rsidRPr="00266A9D" w:rsidRDefault="00266A9D" w:rsidP="00266A9D">
      <w:pPr>
        <w:spacing w:line="240" w:lineRule="auto"/>
        <w:ind w:firstLine="0"/>
        <w:outlineLvl w:val="0"/>
        <w:rPr>
          <w:rFonts w:ascii="Book Antiqua" w:eastAsia="Times New Roman" w:hAnsi="Book Antiqua" w:cs="Times New Roman"/>
          <w:b/>
          <w:bCs/>
          <w:color w:val="000000"/>
          <w:spacing w:val="-10"/>
          <w:kern w:val="36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10"/>
          <w:kern w:val="36"/>
          <w:szCs w:val="28"/>
          <w:lang w:eastAsia="hu-HU"/>
        </w:rPr>
        <w:t xml:space="preserve">Kentaurbeszéd </w:t>
      </w:r>
      <w:r w:rsidR="00C90AB5" w:rsidRPr="00266A9D">
        <w:rPr>
          <w:rFonts w:ascii="Book Antiqua" w:eastAsia="Times New Roman" w:hAnsi="Book Antiqua" w:cs="Times New Roman"/>
          <w:b/>
          <w:bCs/>
          <w:color w:val="000000"/>
          <w:spacing w:val="-10"/>
          <w:kern w:val="36"/>
          <w:szCs w:val="28"/>
          <w:lang w:eastAsia="hu-HU"/>
        </w:rPr>
        <w:t xml:space="preserve"> </w:t>
      </w:r>
    </w:p>
    <w:p w:rsidR="00C90AB5" w:rsidRPr="00266A9D" w:rsidRDefault="00C90AB5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C90AB5" w:rsidRDefault="00C90AB5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A magánéleti tragédiát – legyen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szó családi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viszályról vagy egy balesetről – minden ember nehezen dolgozza fel. A nemzeti tragédiákkal ugyanígy vagyunk. Egyrészt nehéz megbarátkozni az új, a korábbinál előnytelenebb helyzettel, másrészt nem könnyű elkerülni a felelősség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áthárító magyarázatok csapdáit. A magyar nemzet történetében az egyik legnagyobb ilyen trauma az 1920-as trianoni békeszerződés. Nem első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sorban azért, mert ennek értelmében Magyarország elveszítette területé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nek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és nemzeti vagyonának mintegy kétharmadát. Hanem azért, mert az elcsatolt területeken több mint hárommillió magyar is élt. A nem várt és hatalmas sokk miatt évtizedekig burjánoztak a meseszerű és felelősség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áthárító magyarázatok. Ezek egy része még ma is él. Az évtizedek során a magyar történetírás ugyanakkor egy racionális magyarázó sémát is kidolgozott. A Habsburg Birodalom és ezen belül a történelmi Magyar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ország felbomlását eszerint több tényező összetalálkozása idézte elő. Elsőnek és alapvetőnek Magyarország soknemzetiségű jellege és a nem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zetiségi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elitek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elégedetlenkedése tekinthető. Második fontos oknak a XIX. század második felében létrejött Szerbia és Románia irredenta politikáját tarthatjuk. Vagyis azt, hogy mindketten törekedtek azoknak a területek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nek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a megszerzésére, amelyeken saját nemzetük fiai – vagy azok is – éltek. Döntő súllyal estek latba az I. világháborúban győztes nagyhata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lmak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érdekei, illetve stratégiai megfontolásai is, amelyek szintén a nemzetállami átalakulás irányába mutattak. S végül nem hagyhatjuk említés nélkül a háborút követő hónapok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kaotikus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magyar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viszonyait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sem, amelyek sokáig lehetetlenné tették, hogy a magyar békedelegáció kiutazzon a békekonferenciára.</w:t>
      </w:r>
    </w:p>
    <w:p w:rsidR="00EF12E9" w:rsidRPr="00266A9D" w:rsidRDefault="00EF12E9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C90AB5" w:rsidRDefault="00C90AB5" w:rsidP="00266A9D">
      <w:pPr>
        <w:spacing w:line="240" w:lineRule="auto"/>
        <w:outlineLvl w:val="1"/>
        <w:rPr>
          <w:rFonts w:ascii="Book Antiqua" w:eastAsia="Times New Roman" w:hAnsi="Book Antiqua" w:cs="Times New Roman"/>
          <w:b/>
          <w:bCs/>
          <w:szCs w:val="28"/>
          <w:lang w:eastAsia="hu-HU"/>
        </w:rPr>
      </w:pPr>
      <w:r w:rsidRPr="00266A9D">
        <w:rPr>
          <w:rFonts w:ascii="Book Antiqua" w:eastAsia="Times New Roman" w:hAnsi="Book Antiqua" w:cs="Times New Roman"/>
          <w:b/>
          <w:bCs/>
          <w:szCs w:val="28"/>
          <w:lang w:eastAsia="hu-HU"/>
        </w:rPr>
        <w:t>A nemzetiségi kérdés</w:t>
      </w:r>
    </w:p>
    <w:p w:rsidR="00EF12E9" w:rsidRPr="00266A9D" w:rsidRDefault="00EF12E9" w:rsidP="00266A9D">
      <w:pPr>
        <w:spacing w:line="240" w:lineRule="auto"/>
        <w:outlineLvl w:val="1"/>
        <w:rPr>
          <w:rFonts w:ascii="Book Antiqua" w:eastAsia="Times New Roman" w:hAnsi="Book Antiqua" w:cs="Times New Roman"/>
          <w:b/>
          <w:bCs/>
          <w:szCs w:val="28"/>
          <w:lang w:eastAsia="hu-HU"/>
        </w:rPr>
      </w:pPr>
    </w:p>
    <w:p w:rsidR="00C90AB5" w:rsidRDefault="00C90AB5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266A9D">
        <w:rPr>
          <w:rFonts w:ascii="Book Antiqua" w:eastAsia="Times New Roman" w:hAnsi="Book Antiqua" w:cs="Times New Roman"/>
          <w:szCs w:val="28"/>
          <w:lang w:eastAsia="hu-HU"/>
        </w:rPr>
        <w:t>A Magyar Királyság soknemzetiségű jellege a török kiűzése utáni betelepítések és a spontán bevándorlás következtében a XVIII. század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ban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megerősödött. A történeti magyar államrészek lakóinak a XIX.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szá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zad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elején mindösszesen 37, s Horvátország nélkül is csak 43 százalékát adták a magyar anyanyelvűek. Mindaddig, amíg a közigazgatás nyelve a latin, illetve a német volt, s a különböző nyelvű jobbágyok – az ország 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lastRenderedPageBreak/>
        <w:t xml:space="preserve">lakosságának 90 százaléka – nem tartoztak a politikai közösségbe, ez a nyelvi-etnikai sokszínűség nem okozott nehézségeket. A magyar nyelv reformkori uralkodóvá tételével, illetve a modern magyar nemzetállam megteremtésének napirendre tűzésével azonban elkerülhetetlenül viták, majd viszályok forrásává vált. A kor magyar gondolkodói egyaránt úgy vélték, hogy a polgári átalakulás keretében nyelvi-etnikai különbségekre való tekintet nélkül végrehajtandó jogkiterjesztés fejében a nemzetiségi lakosság hajlandó lesz „magyarosodni”, vagy legalábbis a magyart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lingua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franca-ként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elfogadni. Az 1848. március idusát követő események gyorsan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szertefoszlatták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ezeket az optimista reményeket. A szerb, román és részben a szlovák vezetők is Magyarország föderatív jellegű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átalakítá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sát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követelték a nyelvhatároknak megfelelően. A horvátok pedig ennél is többet, lényegében a magyarokéhoz hasonló önállóságot a Monarchián belül. Ezeket a követeléseket a magyar vezetők kezdetben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kategorikusan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elutasították, ám később a kompromisszumkeresés útjára léptek. Bár a nemzetiségeknek adandó területi autonómia gondolatát mindvégig elvetették, 1849. július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28-án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Szegeden olyan határozatot fogadtak el, amely valamennyi nem magyar közösség számára biztosította az egyházakban, a községi életben, valamint a törvényhatósági gyűléseken és az iskolákban a szabad nyelvhasználatot. Az egyéni (állampolgári) és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kollektív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(nemzetiségi) jogok köréről és ezek egymáshoz való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viszonyá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ról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, vagyis a polgári magyar állam belső berendezkedéséről az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emigrá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cióba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menekült és az itthon maradt magyar vezetők egyaránt sokat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töp</w:t>
      </w:r>
      <w:proofErr w:type="spellEnd"/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rengtek. Kossuth 1851-es, Törökországban kidolgozott alkotmány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tervének alapeszméi a decentralizált államszerkezet és a demokratikus önkormányzatiság voltak. Ez minden nemzetiség számára lehetővé tette volna, hogy azokban a községekben és megyékben, ahol többségben éltek, szabadon használhassák nyelvüket és fejleszthessék kultúrájukat. Az itthoni politikusok közül elsősorban báró Eötvös Józsefet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foglalkoz</w:t>
      </w:r>
      <w:proofErr w:type="spellEnd"/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tatták az állami egység igénye és az ország soknemzetiségű jellege közötti ellentmondás feloldásának lehetőségei. „a </w:t>
      </w:r>
      <w:r w:rsidRPr="00417667">
        <w:rPr>
          <w:rFonts w:ascii="Book Antiqua" w:eastAsia="Times New Roman" w:hAnsi="Book Antiqua" w:cs="Times New Roman"/>
          <w:szCs w:val="28"/>
          <w:lang w:eastAsia="hu-HU"/>
        </w:rPr>
        <w:t>nemzetiségi</w:t>
      </w:r>
      <w:r w:rsidRPr="00417667">
        <w:rPr>
          <w:rFonts w:ascii="Book Antiqua" w:eastAsia="Times New Roman" w:hAnsi="Book Antiqua" w:cs="Times New Roman"/>
          <w:color w:val="000000" w:themeColor="text1"/>
          <w:szCs w:val="28"/>
          <w:lang w:eastAsia="hu-HU"/>
        </w:rPr>
        <w:t xml:space="preserve"> kérdés</w:t>
      </w:r>
      <w:r w:rsidR="00417667" w:rsidRPr="00417667">
        <w:rPr>
          <w:rFonts w:ascii="Book Antiqua" w:eastAsia="Times New Roman" w:hAnsi="Book Antiqua" w:cs="Times New Roman"/>
          <w:szCs w:val="28"/>
          <w:lang w:eastAsia="hu-HU"/>
        </w:rPr>
        <w:t>t</w:t>
      </w:r>
      <w:r w:rsidRPr="00417667">
        <w:rPr>
          <w:rFonts w:ascii="Book Antiqua" w:eastAsia="Times New Roman" w:hAnsi="Book Antiqua" w:cs="Times New Roman"/>
          <w:szCs w:val="28"/>
          <w:lang w:eastAsia="hu-HU"/>
        </w:rPr>
        <w:t xml:space="preserve"> hazánkban véglegesen csak úgy tekinteth</w:t>
      </w:r>
      <w:r w:rsidRPr="00417667">
        <w:rPr>
          <w:rFonts w:ascii="Book Antiqua" w:eastAsia="Times New Roman" w:hAnsi="Book Antiqua" w:cs="Times New Roman"/>
          <w:color w:val="000000" w:themeColor="text1"/>
          <w:szCs w:val="28"/>
          <w:lang w:eastAsia="hu-HU"/>
        </w:rPr>
        <w:t xml:space="preserve">etik </w:t>
      </w:r>
      <w:r w:rsidRPr="00417667">
        <w:rPr>
          <w:rFonts w:ascii="Book Antiqua" w:eastAsia="Times New Roman" w:hAnsi="Book Antiqua" w:cs="Times New Roman"/>
          <w:szCs w:val="28"/>
          <w:lang w:eastAsia="hu-HU"/>
        </w:rPr>
        <w:t xml:space="preserve">megoldottnak – írta 1865-ös, </w:t>
      </w:r>
      <w:proofErr w:type="gramStart"/>
      <w:r w:rsidRPr="00417667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417667">
        <w:rPr>
          <w:rFonts w:ascii="Book Antiqua" w:eastAsia="Times New Roman" w:hAnsi="Book Antiqua" w:cs="Times New Roman"/>
          <w:szCs w:val="28"/>
          <w:lang w:eastAsia="hu-HU"/>
        </w:rPr>
        <w:t xml:space="preserve"> nemzetiségi kérdés című könyvében - ha annak megoldása […] a politikai és nyelvi nemzetiség nevében tett méltányos követeléseknek egyaránt eleget tesz".</w:t>
      </w:r>
      <w:r w:rsidRPr="00417667">
        <w:rPr>
          <w:rFonts w:ascii="Book Antiqua" w:eastAsia="Times New Roman" w:hAnsi="Book Antiqua" w:cs="Times New Roman"/>
          <w:b/>
          <w:szCs w:val="28"/>
          <w:lang w:eastAsia="hu-HU"/>
        </w:rPr>
        <w:t xml:space="preserve"> 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A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generális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megoldás – vallotta Kossuthoz hason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lóan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– az állampolgári jogegyenlőség és a demokratikus önkormányzati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ság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>. Francia vagy porosz mintákat követő „centralisált állam” Magyar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ország többé nem lehet, mert „az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administratiónak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ezen formája alatt a nemzetiségeknek legmérsékeltebb követelései sem elégíttethetnének ki”. Ez a Habsburg Birodalmon belüli megoldásokban gondolkodó liberális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lastRenderedPageBreak/>
        <w:t>koncepció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azonban éppúgy nem vált a nemzetiségi kérdés rendezésének alapelvévé, mint ahogy Kossuth és emigráns társainak Habsburg-ellenes és demokratikus elképzelései is megmaradtak a tervezgetések szintjén. A magyar politikai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elit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meghatáro</w:t>
      </w:r>
      <w:r w:rsidR="00732068">
        <w:rPr>
          <w:rFonts w:ascii="Book Antiqua" w:eastAsia="Times New Roman" w:hAnsi="Book Antiqua" w:cs="Times New Roman"/>
          <w:szCs w:val="28"/>
          <w:lang w:eastAsia="hu-HU"/>
        </w:rPr>
        <w:t>zó körei ugyanis – feledve 1848</w:t>
      </w:r>
      <w:r w:rsidR="00732068" w:rsidRPr="00266A9D">
        <w:rPr>
          <w:rFonts w:ascii="Book Antiqua" w:eastAsia="Times New Roman" w:hAnsi="Book Antiqua" w:cs="Times New Roman"/>
          <w:szCs w:val="28"/>
          <w:lang w:eastAsia="hu-HU"/>
        </w:rPr>
        <w:t>–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49 tanul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ságát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– ragaszkodtak a reformkorban megfogalmazott nemzetállami koncepcióhoz, vagyis a magyarországi törvényhozás, kormányzás és megyei adminisztráció magyar jellegéhez. „Magyarország összes hon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polgárai – tükröződött ez a szemlélet az 1868. évi nemzetiségi törvény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ben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– az alkotmány alapelvei szerint is politikai tekintetben egy nemzetet képeznek, az oszthatatlan egységes magyar nemzetet, melynek a hon minden polgára, bármely nemzetiséghez tartozzék is, egyenjogú tagja”, s minthogy „a nemzet politikai egységénél fogva Magyarország állam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nyelve a magyar lévén, a magyar országgyűlés tanácskozási s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ügykezelé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si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nyelve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ezentúl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is egyedül a magyar”. Ehhez a nemzetfelfogáshoz és állameszméhez a kiegyezés utáni nemzedékek is ragaszkodtak, s az ország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kantonizálásában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reménykedő nemzetiségi elképzeléseket a „politikai otrombaságok”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kategóriájába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utalták. Az 1868-as rendezés nem magyar nyelvek és kultúrák iránti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toleranciáját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ugyanakkor egyre kevésbé érvényesítették. Ezzel magyarázható, hogy a nemzetiségi iskola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hálózat az 1880-as évektől fokozatosan visszafejlődött, s a magyar anya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nyelvűek aránya 1880 és 1910 között – Horvátországot nem számítva – 46-ról 54 százalékra emelkedett. Nem lehet eléggé hangsúlyozni: az 1868-as nemzetiségi törvény egyáltalán nem volt elnyomó jellegű, sőt számos liberális elemet tartalmazott. A nemzetiségi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eliteket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ennek ellené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re nem elégítette ki. Ők – mint 1895-ös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kongresszusukon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is hangoztatták </w:t>
      </w:r>
      <w:r w:rsidRPr="00CD4ED7">
        <w:rPr>
          <w:rFonts w:ascii="Book Antiqua" w:eastAsia="Times New Roman" w:hAnsi="Book Antiqua" w:cs="Times New Roman"/>
          <w:spacing w:val="-2"/>
          <w:szCs w:val="28"/>
          <w:lang w:eastAsia="hu-HU"/>
        </w:rPr>
        <w:t xml:space="preserve">– társnemzeti státust igényeltek, és </w:t>
      </w:r>
      <w:proofErr w:type="spellStart"/>
      <w:r w:rsidRPr="00CD4ED7">
        <w:rPr>
          <w:rFonts w:ascii="Book Antiqua" w:eastAsia="Times New Roman" w:hAnsi="Book Antiqua" w:cs="Times New Roman"/>
          <w:spacing w:val="-2"/>
          <w:szCs w:val="28"/>
          <w:lang w:eastAsia="hu-HU"/>
        </w:rPr>
        <w:t>kantonizálni</w:t>
      </w:r>
      <w:proofErr w:type="spellEnd"/>
      <w:r w:rsidRPr="00CD4ED7">
        <w:rPr>
          <w:rFonts w:ascii="Book Antiqua" w:eastAsia="Times New Roman" w:hAnsi="Book Antiqua" w:cs="Times New Roman"/>
          <w:spacing w:val="-2"/>
          <w:szCs w:val="28"/>
          <w:lang w:eastAsia="hu-HU"/>
        </w:rPr>
        <w:t xml:space="preserve"> akarták Magyarországot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. Közvetlenül a háború előtt, 191</w:t>
      </w:r>
      <w:r w:rsidR="00732068">
        <w:rPr>
          <w:rFonts w:ascii="Book Antiqua" w:eastAsia="Times New Roman" w:hAnsi="Book Antiqua" w:cs="Times New Roman"/>
          <w:szCs w:val="28"/>
          <w:lang w:eastAsia="hu-HU"/>
        </w:rPr>
        <w:t>2</w:t>
      </w:r>
      <w:r w:rsidR="00732068" w:rsidRPr="00266A9D">
        <w:rPr>
          <w:rFonts w:ascii="Book Antiqua" w:eastAsia="Times New Roman" w:hAnsi="Book Antiqua" w:cs="Times New Roman"/>
          <w:szCs w:val="28"/>
          <w:lang w:eastAsia="hu-HU"/>
        </w:rPr>
        <w:t>–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1913-ban Tisza István még egyszer megkísérelt modus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vivendit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találni velük, ám erőfeszítéseit nem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koro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názta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siker. 1914 augusztusában Magyarország ezért úgy lépett be a háborúba, hogy a lakosságának közel felét alkotó nemzetiségek, vagy legalábbis azok közvélemény-formáló elitcsoportjainak politikai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lojalitá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sa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a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legmesszebbmenőkig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megkérdőjelezhető volt.</w:t>
      </w:r>
    </w:p>
    <w:p w:rsidR="00EF12E9" w:rsidRPr="00266A9D" w:rsidRDefault="00EF12E9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C90AB5" w:rsidRDefault="00C90AB5" w:rsidP="00266A9D">
      <w:pPr>
        <w:spacing w:line="240" w:lineRule="auto"/>
        <w:outlineLvl w:val="1"/>
        <w:rPr>
          <w:rFonts w:ascii="Book Antiqua" w:eastAsia="Times New Roman" w:hAnsi="Book Antiqua" w:cs="Times New Roman"/>
          <w:b/>
          <w:bCs/>
          <w:szCs w:val="28"/>
          <w:lang w:eastAsia="hu-HU"/>
        </w:rPr>
      </w:pPr>
      <w:r w:rsidRPr="00266A9D">
        <w:rPr>
          <w:rFonts w:ascii="Book Antiqua" w:eastAsia="Times New Roman" w:hAnsi="Book Antiqua" w:cs="Times New Roman"/>
          <w:b/>
          <w:bCs/>
          <w:szCs w:val="28"/>
          <w:lang w:eastAsia="hu-HU"/>
        </w:rPr>
        <w:t>Az első világháborús hadicélok</w:t>
      </w:r>
      <w:r w:rsidR="00732068">
        <w:rPr>
          <w:rFonts w:ascii="Book Antiqua" w:eastAsia="Times New Roman" w:hAnsi="Book Antiqua" w:cs="Times New Roman"/>
          <w:b/>
          <w:bCs/>
          <w:szCs w:val="28"/>
          <w:lang w:eastAsia="hu-HU"/>
        </w:rPr>
        <w:t xml:space="preserve"> </w:t>
      </w:r>
    </w:p>
    <w:p w:rsidR="00EF12E9" w:rsidRPr="00266A9D" w:rsidRDefault="00EF12E9" w:rsidP="00266A9D">
      <w:pPr>
        <w:spacing w:line="240" w:lineRule="auto"/>
        <w:outlineLvl w:val="1"/>
        <w:rPr>
          <w:rFonts w:ascii="Book Antiqua" w:eastAsia="Times New Roman" w:hAnsi="Book Antiqua" w:cs="Times New Roman"/>
          <w:b/>
          <w:bCs/>
          <w:szCs w:val="28"/>
          <w:lang w:eastAsia="hu-HU"/>
        </w:rPr>
      </w:pPr>
    </w:p>
    <w:p w:rsidR="00C90AB5" w:rsidRDefault="00C90AB5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Az első világháborút területekért vívták. A háború folyamán mindegyik hadviselő fél körvonalazta céljait. Szerbia, amelynek a Monarchiával kialakult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konﬂiktusa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a háborút végeredményben ki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robbantotta, már 1914. szeptember 4-én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informálta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szövetségeseit arról, hogy győzelem esetén „Szerbiából egy olyan erős délszláv államot kíván 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lastRenderedPageBreak/>
        <w:t xml:space="preserve">létrehozni, amelynek lakosságát valamennyi szerb, valamennyi horvát és szlovén fogja alkotni”. Hosszas tárgyalások után, 1916 augusztusában végül Románia is az antant oldalára állt. Hadba lépése fejében ígéretet kapott egész Erdélyre, Máramarosra, a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Partiumra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, a Tiszántúl keleti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sze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gélyére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nagyjából a Debrecen–Szeged vonalig, a Bánságra, valamint </w:t>
      </w:r>
      <w:r w:rsidRPr="00CD4ED7">
        <w:rPr>
          <w:rFonts w:ascii="Book Antiqua" w:eastAsia="Times New Roman" w:hAnsi="Book Antiqua" w:cs="Times New Roman"/>
          <w:spacing w:val="-2"/>
          <w:szCs w:val="28"/>
          <w:lang w:eastAsia="hu-HU"/>
        </w:rPr>
        <w:t xml:space="preserve">Bukovinára a Prut folyóig. Az antant győzelmében bízva és a fenti </w:t>
      </w:r>
      <w:proofErr w:type="spellStart"/>
      <w:r w:rsidRPr="00CD4ED7">
        <w:rPr>
          <w:rFonts w:ascii="Book Antiqua" w:eastAsia="Times New Roman" w:hAnsi="Book Antiqua" w:cs="Times New Roman"/>
          <w:spacing w:val="-2"/>
          <w:szCs w:val="28"/>
          <w:lang w:eastAsia="hu-HU"/>
        </w:rPr>
        <w:t>terüle</w:t>
      </w:r>
      <w:proofErr w:type="spellEnd"/>
      <w:r w:rsidR="00CD4ED7" w:rsidRPr="00CD4ED7">
        <w:rPr>
          <w:rFonts w:ascii="Book Antiqua" w:eastAsia="Times New Roman" w:hAnsi="Book Antiqua" w:cs="Times New Roman"/>
          <w:spacing w:val="-2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tek megszerzésében reménykedve 1916. augusztus 27-én a román had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sereg betört Erdélybe. A bécsi birodalmi gyűlés cseh képviselői a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Monar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chia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olyan föderatív átalakítását szerették volna elérni, amelynek egyik egysége „a csehszlovák nemzet valamennyi ágának egyesítéséből” jött volna létre, ideértve természetesen a felső-magyarországi szlovákokat is. Az emigráns cseh és szlovák politikusok – köztük Masaryk és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Beneš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– viszont már 1914 őszén önálló „cseh-szlovák” állam létrehozásának a támogatását kérték az antant politikusaitól. A Habsburg Birodalom dezintegrációját az ellenséges nagyhatalmak közül mindenekelőtt Oroszország támogatta. A nyugati antanthatalmak hadicéljai között viszont eleinte nem szerepelt új és független nemzetállamok kialakítása Kelet-Közép-Európában. Az Osztrák–Magyar Monarchiát fokozódó belső gyengesége ellenére sokan még mindig az európai államrendszer kiegyensúlyozó tényezőjének tartották, s ezért célszerűnek vélték fenn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tartását. Ez a nemzetállami törekvésekkel szembeni közömbösség 1916-tól fokozatosan mérséklődött, majd 1918-ban átadta helyét a nemzeti ön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rendelkezés elve melletti harcos elkötelezettségnek. Mi volt e változás </w:t>
      </w:r>
      <w:r w:rsidRPr="00CD4ED7">
        <w:rPr>
          <w:rFonts w:ascii="Book Antiqua" w:eastAsia="Times New Roman" w:hAnsi="Book Antiqua" w:cs="Times New Roman"/>
          <w:spacing w:val="-4"/>
          <w:szCs w:val="28"/>
          <w:lang w:eastAsia="hu-HU"/>
        </w:rPr>
        <w:t xml:space="preserve">oka? Az első fontos ösztönzést az 1915-től szellőztetett német </w:t>
      </w:r>
      <w:proofErr w:type="spellStart"/>
      <w:r w:rsidRPr="00CD4ED7">
        <w:rPr>
          <w:rFonts w:ascii="Book Antiqua" w:eastAsia="Times New Roman" w:hAnsi="Book Antiqua" w:cs="Times New Roman"/>
          <w:spacing w:val="-4"/>
          <w:szCs w:val="28"/>
          <w:lang w:eastAsia="hu-HU"/>
        </w:rPr>
        <w:t>Mitteleuropa</w:t>
      </w:r>
      <w:proofErr w:type="spellEnd"/>
      <w:r w:rsidRPr="00CD4ED7">
        <w:rPr>
          <w:rFonts w:ascii="Book Antiqua" w:eastAsia="Times New Roman" w:hAnsi="Book Antiqua" w:cs="Times New Roman"/>
          <w:spacing w:val="-4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tervek keltette félelem, nevezetesen a Rajnától a Dnyeperig és a Fekete-tengerig terjedő német–osztrák–magyar ellenőrzés alatt álló „nagytér” körvonalazódása adta. Az emigráns délszláv, cseh és lengyel politikusok, valamint brit és francia támogatóik ezt a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kontinentális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német hegemónia kialakulásának bizonyítékaként kezeltek. Mindehhez járult a második orosz forradalom, illetve a breszt-litovszki békekötés 1918 márciusában. A nyugati szövetségesek ezzel a békével egyrészt elveszítették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legfonto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sabb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keleti partnerüket, másrészt a valóságban is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körvonalazódtak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a Dnyeperig terjedő informális német birodalom </w:t>
      </w:r>
      <w:proofErr w:type="gramStart"/>
      <w:r w:rsidRPr="00266A9D">
        <w:rPr>
          <w:rFonts w:ascii="Book Antiqua" w:eastAsia="Times New Roman" w:hAnsi="Book Antiqua" w:cs="Times New Roman"/>
          <w:szCs w:val="28"/>
          <w:lang w:eastAsia="hu-HU"/>
        </w:rPr>
        <w:t>kontúrjai</w:t>
      </w:r>
      <w:proofErr w:type="gramEnd"/>
      <w:r w:rsidRPr="00266A9D">
        <w:rPr>
          <w:rFonts w:ascii="Book Antiqua" w:eastAsia="Times New Roman" w:hAnsi="Book Antiqua" w:cs="Times New Roman"/>
          <w:szCs w:val="28"/>
          <w:lang w:eastAsia="hu-HU"/>
        </w:rPr>
        <w:t>. Kedvezőtlenül hatott a IV. Károllyal folytatott különbéke-tárgyalások botrányos zátony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ra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futása is 1918 áprilisában, amely Károlyt megalázó és Berlinnel szem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ben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az addigiaknál is kiszolgáltatottabb helyzetbe hozta. Ez tükröződött a Monarchia és Németország közötti szoros gazdasági, politikai és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kato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nai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együttműködést előíró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spai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egyezményben, amelyet 1918. május 15-én írtak alá. Utóbbi két eseményt Londonban, Párizsban és Washington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ban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egyaránt úgy értelmezték, hogy a Monarchia immár végérvényesen 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lastRenderedPageBreak/>
        <w:t>Németország járszalagjára került, és semmiképpen sem lesz képes be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tölteni a jövőben azt a kiegyensúlyozó s</w:t>
      </w:r>
      <w:r w:rsidR="00732068">
        <w:rPr>
          <w:rFonts w:ascii="Book Antiqua" w:eastAsia="Times New Roman" w:hAnsi="Book Antiqua" w:cs="Times New Roman"/>
          <w:szCs w:val="28"/>
          <w:lang w:eastAsia="hu-HU"/>
        </w:rPr>
        <w:t>zerepet, amelyre sokan még 1916</w:t>
      </w:r>
      <w:r w:rsidR="00732068" w:rsidRPr="00266A9D">
        <w:rPr>
          <w:rFonts w:ascii="Book Antiqua" w:eastAsia="Times New Roman" w:hAnsi="Book Antiqua" w:cs="Times New Roman"/>
          <w:szCs w:val="28"/>
          <w:lang w:eastAsia="hu-HU"/>
        </w:rPr>
        <w:t>–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1917-ben is alkalmasnak vélték. 1918 tavaszától az antanthatalmak politikusai ezért többé már nem arról vitatkoztak, hogy megmarad-e a Monarchia vagy sem, hanem arról, hogy hol húzódjanak a birodalom helyén létrejövő új államok határai. 1918. október 29-ei számában a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fran</w:t>
      </w:r>
      <w:r w:rsidR="00CD4ED7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>cia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266A9D">
        <w:rPr>
          <w:rFonts w:ascii="Book Antiqua" w:eastAsia="Times New Roman" w:hAnsi="Book Antiqua" w:cs="Times New Roman"/>
          <w:szCs w:val="28"/>
          <w:lang w:eastAsia="hu-HU"/>
        </w:rPr>
        <w:t>Excelsoir</w:t>
      </w:r>
      <w:proofErr w:type="spellEnd"/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olyan térképet közölt a régió új állami elrendeződéséről, amelyen Magyarországot lényegében már mai határai választották el a szomszédos országoktól. Bölcsebb és ügyesebb magyar politika esetén részkérdésekben talán sikerülhetett volna jobb feltételeket elérni azoknál, mint amelyekben az 1919 januárjától ülésező békekonferencia 1919 </w:t>
      </w:r>
      <w:bookmarkStart w:id="0" w:name="_GoBack"/>
      <w:bookmarkEnd w:id="0"/>
      <w:proofErr w:type="spellStart"/>
      <w:r w:rsidRPr="00CD4ED7">
        <w:rPr>
          <w:rFonts w:ascii="Book Antiqua" w:eastAsia="Times New Roman" w:hAnsi="Book Antiqua" w:cs="Times New Roman"/>
          <w:spacing w:val="-4"/>
          <w:szCs w:val="28"/>
          <w:lang w:eastAsia="hu-HU"/>
        </w:rPr>
        <w:t>nyarára</w:t>
      </w:r>
      <w:proofErr w:type="spellEnd"/>
      <w:r w:rsidRPr="00CD4ED7">
        <w:rPr>
          <w:rFonts w:ascii="Book Antiqua" w:eastAsia="Times New Roman" w:hAnsi="Book Antiqua" w:cs="Times New Roman"/>
          <w:spacing w:val="-4"/>
          <w:szCs w:val="28"/>
          <w:lang w:eastAsia="hu-HU"/>
        </w:rPr>
        <w:t xml:space="preserve"> Párizsban megállapított. Alapvetően mást azonban – bármennyire</w:t>
      </w:r>
      <w:r w:rsidRPr="00266A9D">
        <w:rPr>
          <w:rFonts w:ascii="Book Antiqua" w:eastAsia="Times New Roman" w:hAnsi="Book Antiqua" w:cs="Times New Roman"/>
          <w:szCs w:val="28"/>
          <w:lang w:eastAsia="hu-HU"/>
        </w:rPr>
        <w:t xml:space="preserve"> is nehéz ezt tudomásul venni – nem.</w:t>
      </w:r>
      <w:r w:rsidR="0073206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:rsidR="00341022" w:rsidRDefault="00341022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341022" w:rsidRPr="00266A9D" w:rsidRDefault="00341022" w:rsidP="00266A9D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014A9B" w:rsidRPr="00266A9D" w:rsidRDefault="00014A9B" w:rsidP="00266A9D">
      <w:pPr>
        <w:spacing w:line="240" w:lineRule="auto"/>
        <w:rPr>
          <w:rFonts w:ascii="Book Antiqua" w:hAnsi="Book Antiqua"/>
          <w:szCs w:val="28"/>
        </w:rPr>
      </w:pPr>
    </w:p>
    <w:sectPr w:rsidR="00014A9B" w:rsidRPr="0026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5"/>
    <w:rsid w:val="00014A9B"/>
    <w:rsid w:val="001C7622"/>
    <w:rsid w:val="00266A9D"/>
    <w:rsid w:val="00341022"/>
    <w:rsid w:val="00417667"/>
    <w:rsid w:val="00726E3B"/>
    <w:rsid w:val="00732068"/>
    <w:rsid w:val="00762F3D"/>
    <w:rsid w:val="00C90AB5"/>
    <w:rsid w:val="00C95C8B"/>
    <w:rsid w:val="00CD4ED7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AB22"/>
  <w15:chartTrackingRefBased/>
  <w15:docId w15:val="{56765BB9-08F8-4C48-B102-C40FB9F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2020-06-04T13:03:00Z</dcterms:created>
  <dcterms:modified xsi:type="dcterms:W3CDTF">2020-06-04T13:03:00Z</dcterms:modified>
</cp:coreProperties>
</file>