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58" w:rsidRDefault="00E26B58" w:rsidP="00E26B58">
      <w:pPr>
        <w:spacing w:line="360" w:lineRule="auto"/>
        <w:ind w:firstLine="709"/>
        <w:rPr>
          <w:rFonts w:ascii="Book Antiqua" w:hAnsi="Book Antiqua"/>
          <w:bCs/>
          <w:sz w:val="36"/>
          <w:szCs w:val="36"/>
        </w:rPr>
      </w:pPr>
      <w:r w:rsidRPr="00E26B58">
        <w:rPr>
          <w:rFonts w:ascii="Book Antiqua" w:hAnsi="Book Antiqua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147445" cy="1772285"/>
            <wp:effectExtent l="0" t="0" r="0" b="0"/>
            <wp:wrapSquare wrapText="bothSides"/>
            <wp:docPr id="1" name="Kép 1" descr="C:\Users\Otthon\Desktop\32közlés\képek\734601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2közlés\képek\7346010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B58" w:rsidRDefault="00E26B58" w:rsidP="00E26B58">
      <w:pPr>
        <w:spacing w:line="360" w:lineRule="auto"/>
        <w:ind w:firstLine="709"/>
        <w:rPr>
          <w:rFonts w:ascii="Book Antiqua" w:hAnsi="Book Antiqua"/>
          <w:bCs/>
          <w:sz w:val="36"/>
          <w:szCs w:val="36"/>
        </w:rPr>
      </w:pPr>
      <w:r w:rsidRPr="00E26B58">
        <w:rPr>
          <w:rFonts w:ascii="Book Antiqua" w:hAnsi="Book Antiqua"/>
          <w:bCs/>
          <w:sz w:val="36"/>
          <w:szCs w:val="36"/>
        </w:rPr>
        <w:t>Horváth Péter</w:t>
      </w:r>
      <w:r w:rsidRPr="00E26B58">
        <w:rPr>
          <w:rFonts w:ascii="Book Antiqua" w:hAnsi="Book Antiqua"/>
          <w:bCs/>
          <w:sz w:val="36"/>
          <w:szCs w:val="36"/>
        </w:rPr>
        <w:t xml:space="preserve"> </w:t>
      </w:r>
    </w:p>
    <w:p w:rsidR="00E26B58" w:rsidRPr="00E26B58" w:rsidRDefault="00E26B58" w:rsidP="00E26B58">
      <w:pPr>
        <w:spacing w:after="120"/>
        <w:ind w:firstLine="709"/>
        <w:rPr>
          <w:rFonts w:ascii="Book Antiqua" w:hAnsi="Book Antiqua" w:cstheme="minorHAnsi"/>
          <w:bCs/>
          <w:i/>
          <w:sz w:val="40"/>
          <w:szCs w:val="40"/>
        </w:rPr>
      </w:pPr>
      <w:r w:rsidRPr="00E26B58">
        <w:rPr>
          <w:rFonts w:ascii="Book Antiqua" w:hAnsi="Book Antiqua" w:cstheme="minorHAnsi"/>
          <w:bCs/>
          <w:i/>
          <w:sz w:val="40"/>
          <w:szCs w:val="40"/>
        </w:rPr>
        <w:t>Előhang</w:t>
      </w:r>
    </w:p>
    <w:p w:rsidR="00E26B58" w:rsidRPr="00E26B58" w:rsidRDefault="00E26B58" w:rsidP="00E26B58">
      <w:pPr>
        <w:spacing w:line="360" w:lineRule="auto"/>
        <w:ind w:firstLine="709"/>
        <w:rPr>
          <w:rFonts w:ascii="Book Antiqua" w:hAnsi="Book Antiqua"/>
          <w:b/>
          <w:bCs/>
          <w:sz w:val="28"/>
          <w:szCs w:val="28"/>
        </w:rPr>
      </w:pPr>
      <w:r w:rsidRPr="00E26B58">
        <w:rPr>
          <w:rFonts w:ascii="Book Antiqua" w:hAnsi="Book Antiqua"/>
          <w:b/>
          <w:bCs/>
          <w:sz w:val="28"/>
          <w:szCs w:val="28"/>
        </w:rPr>
        <w:t>Horváth Péter – Szakonyi Károly</w:t>
      </w:r>
      <w:r w:rsidRPr="00E26B58">
        <w:rPr>
          <w:rFonts w:ascii="Book Antiqua" w:hAnsi="Book Antiqua"/>
          <w:b/>
          <w:bCs/>
          <w:sz w:val="28"/>
          <w:szCs w:val="28"/>
        </w:rPr>
        <w:t xml:space="preserve">: </w:t>
      </w:r>
      <w:r w:rsidRPr="00E26B58">
        <w:rPr>
          <w:rFonts w:ascii="Book Antiqua" w:hAnsi="Book Antiqua"/>
          <w:b/>
          <w:bCs/>
          <w:sz w:val="28"/>
          <w:szCs w:val="28"/>
        </w:rPr>
        <w:t>N</w:t>
      </w:r>
      <w:r w:rsidRPr="00E26B58">
        <w:rPr>
          <w:rFonts w:ascii="Book Antiqua" w:hAnsi="Book Antiqua"/>
          <w:b/>
          <w:bCs/>
          <w:sz w:val="28"/>
          <w:szCs w:val="28"/>
        </w:rPr>
        <w:t xml:space="preserve">égykezes </w:t>
      </w:r>
    </w:p>
    <w:p w:rsidR="00E26B58" w:rsidRPr="00E26B58" w:rsidRDefault="00E26B58" w:rsidP="00E26B58">
      <w:pPr>
        <w:ind w:firstLine="709"/>
        <w:rPr>
          <w:rFonts w:ascii="Book Antiqua" w:hAnsi="Book Antiqua" w:cstheme="minorHAnsi"/>
          <w:b/>
          <w:bCs/>
          <w:sz w:val="28"/>
          <w:szCs w:val="28"/>
        </w:rPr>
      </w:pPr>
    </w:p>
    <w:p w:rsidR="00E26B58" w:rsidRDefault="00E26B58" w:rsidP="00E26B58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E26B58" w:rsidRPr="00E26B58" w:rsidRDefault="00E26B58" w:rsidP="00E26B5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 xml:space="preserve">Nem állítom, hogy </w:t>
      </w:r>
      <w:r w:rsidRPr="00E26B58">
        <w:rPr>
          <w:rFonts w:ascii="Book Antiqua" w:hAnsi="Book Antiqua" w:cstheme="minorHAnsi"/>
          <w:i/>
          <w:iCs/>
          <w:sz w:val="28"/>
          <w:szCs w:val="28"/>
        </w:rPr>
        <w:t>Szakonyi Károly</w:t>
      </w:r>
      <w:r w:rsidRPr="00E26B58">
        <w:rPr>
          <w:rFonts w:ascii="Book Antiqua" w:hAnsi="Book Antiqua" w:cstheme="minorHAnsi"/>
          <w:sz w:val="28"/>
          <w:szCs w:val="28"/>
        </w:rPr>
        <w:t xml:space="preserve"> írói példaképem volna – mert </w:t>
      </w:r>
      <w:r w:rsidRPr="00E26B58">
        <w:rPr>
          <w:rFonts w:ascii="Book Antiqua" w:hAnsi="Book Antiqua" w:cstheme="minorHAnsi"/>
          <w:spacing w:val="-2"/>
          <w:sz w:val="28"/>
          <w:szCs w:val="28"/>
        </w:rPr>
        <w:t>olyanom nincs nekem –, de az előttem (fölöttem) járó magyar írónemzedék</w:t>
      </w:r>
      <w:r w:rsidRPr="00E26B58">
        <w:rPr>
          <w:rFonts w:ascii="Book Antiqua" w:hAnsi="Book Antiqua" w:cstheme="minorHAnsi"/>
          <w:sz w:val="28"/>
          <w:szCs w:val="28"/>
        </w:rPr>
        <w:t xml:space="preserve"> egyik utolsó mohikánjaként erősen kedvelem és tisztelem őt. Ráadásul magánemberként és íróként is rokonomnak érzem. Éppen húsz évvel idősebb nálam, ő nemsokára kilencven, én nemsokára hetven leszek. De csak mostanában kezdtem tűnődni azon, hogy az én eddigi írói munkás</w:t>
      </w:r>
      <w:r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ságom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 vajon hová sorolható, milyen elődök sorát folytatom. </w:t>
      </w:r>
    </w:p>
    <w:p w:rsidR="00E26B58" w:rsidRPr="00E26B58" w:rsidRDefault="00E26B58" w:rsidP="00E26B58">
      <w:pPr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 xml:space="preserve">Fiatal szerzőként sokféle irodalmi hatás ért. Kamaszkorom kedvenc szerzője Ernest Hemingway volt. Aztán hosszú évekig Mándy Ivánért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ra</w:t>
      </w:r>
      <w:r>
        <w:rPr>
          <w:rFonts w:ascii="Book Antiqua" w:hAnsi="Book Antiqua" w:cstheme="minorHAnsi"/>
          <w:sz w:val="28"/>
          <w:szCs w:val="28"/>
        </w:rPr>
        <w:t>-</w:t>
      </w:r>
      <w:r w:rsidRPr="00E26B58">
        <w:rPr>
          <w:rFonts w:ascii="Book Antiqua" w:hAnsi="Book Antiqua" w:cstheme="minorHAnsi"/>
          <w:sz w:val="28"/>
          <w:szCs w:val="28"/>
        </w:rPr>
        <w:t>jongtam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, később Mészöly Miklós erős, akkoriban még szikár stílusa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ra</w:t>
      </w:r>
      <w:r>
        <w:rPr>
          <w:rFonts w:ascii="Book Antiqua" w:hAnsi="Book Antiqua" w:cstheme="minorHAnsi"/>
          <w:sz w:val="28"/>
          <w:szCs w:val="28"/>
        </w:rPr>
        <w:t>-</w:t>
      </w:r>
      <w:r w:rsidRPr="00E26B58">
        <w:rPr>
          <w:rFonts w:ascii="Book Antiqua" w:hAnsi="Book Antiqua" w:cstheme="minorHAnsi"/>
          <w:sz w:val="28"/>
          <w:szCs w:val="28"/>
        </w:rPr>
        <w:t>gadott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 magával. Aztán sokáig bolondultam Bohumil Hrabal munkáiért, miközben erősen megérintett Albert Camus, Mihail Bulgakov, </w:t>
      </w:r>
      <w:proofErr w:type="gramStart"/>
      <w:r w:rsidRPr="00E26B58">
        <w:rPr>
          <w:rFonts w:ascii="Book Antiqua" w:hAnsi="Book Antiqua" w:cstheme="minorHAnsi"/>
          <w:sz w:val="28"/>
          <w:szCs w:val="28"/>
        </w:rPr>
        <w:t>Guy</w:t>
      </w:r>
      <w:proofErr w:type="gramEnd"/>
      <w:r w:rsidRPr="00E26B58">
        <w:rPr>
          <w:rFonts w:ascii="Book Antiqua" w:hAnsi="Book Antiqua" w:cstheme="minorHAnsi"/>
          <w:sz w:val="28"/>
          <w:szCs w:val="28"/>
        </w:rPr>
        <w:t xml:space="preserve"> de Maupassant, Joseph Heller és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GarciaMarquez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 prózaművészete. De szeret</w:t>
      </w:r>
      <w:r>
        <w:rPr>
          <w:rFonts w:ascii="Book Antiqua" w:hAnsi="Book Antiqua" w:cstheme="minorHAnsi"/>
          <w:sz w:val="28"/>
          <w:szCs w:val="28"/>
        </w:rPr>
        <w:t>-</w:t>
      </w:r>
      <w:r w:rsidRPr="00E26B58">
        <w:rPr>
          <w:rFonts w:ascii="Book Antiqua" w:hAnsi="Book Antiqua" w:cstheme="minorHAnsi"/>
          <w:sz w:val="28"/>
          <w:szCs w:val="28"/>
        </w:rPr>
        <w:t xml:space="preserve">tem Gelléri Andor Endre és kivált Móricz Zsigmond írásait is. És persze, Dosztojevszkij, Gogol, Jack London és Shakespeare. Micsoda pazar vegyesfelvágott! És akkor még nem szóltam Molnár Ferencről, Ottlikról </w:t>
      </w:r>
      <w:r w:rsidRPr="00E26B58">
        <w:rPr>
          <w:rFonts w:ascii="Book Antiqua" w:hAnsi="Book Antiqua" w:cstheme="minorHAnsi"/>
          <w:spacing w:val="-4"/>
          <w:sz w:val="28"/>
          <w:szCs w:val="28"/>
        </w:rPr>
        <w:t>és Petri Györgyről – hogy egymástól aztán végképp távoli szerzőket említsek.</w:t>
      </w:r>
    </w:p>
    <w:p w:rsidR="00E26B58" w:rsidRPr="00E26B58" w:rsidRDefault="00E26B58" w:rsidP="00E26B5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 xml:space="preserve">E felsorolásból nyilván kitetszik, hogy nem jártam egyetemre, tudós </w:t>
      </w:r>
      <w:r w:rsidRPr="00E26B58">
        <w:rPr>
          <w:rFonts w:ascii="Book Antiqua" w:hAnsi="Book Antiqua" w:cstheme="minorHAnsi"/>
          <w:spacing w:val="-4"/>
          <w:sz w:val="28"/>
          <w:szCs w:val="28"/>
        </w:rPr>
        <w:t>és tudatos sorvezető nélkül olvastam össze azt, ami éppen a kezembe került.</w:t>
      </w:r>
      <w:r w:rsidRPr="00E26B58">
        <w:rPr>
          <w:rFonts w:ascii="Book Antiqua" w:hAnsi="Book Antiqua" w:cstheme="minorHAnsi"/>
          <w:sz w:val="28"/>
          <w:szCs w:val="28"/>
        </w:rPr>
        <w:t xml:space="preserve"> Jóval negyvenéves korom után, gyakorló dramaturgként – felületesen ugyan, de – megismerkedtem a századelő és a két háború közti magyar szerzők munkáival, s köztük nem utolsó sorban a modernnek nevezett magyar próza zsenije, Füst Milán remekével, a Feleségem története című, lebilincselő regényével. </w:t>
      </w:r>
    </w:p>
    <w:p w:rsidR="00E26B58" w:rsidRPr="00E26B58" w:rsidRDefault="00E26B58" w:rsidP="00E37384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>Ahogy olvasói tapasztalatom szélesedett, úgy kezdett össze</w:t>
      </w:r>
      <w:r w:rsidR="00E37384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E37384">
        <w:rPr>
          <w:rFonts w:ascii="Book Antiqua" w:hAnsi="Book Antiqua" w:cstheme="minorHAnsi"/>
          <w:spacing w:val="-4"/>
          <w:sz w:val="28"/>
          <w:szCs w:val="28"/>
        </w:rPr>
        <w:t>szottyadni</w:t>
      </w:r>
      <w:proofErr w:type="spellEnd"/>
      <w:r w:rsidRPr="00E37384">
        <w:rPr>
          <w:rFonts w:ascii="Book Antiqua" w:hAnsi="Book Antiqua" w:cstheme="minorHAnsi"/>
          <w:spacing w:val="-4"/>
          <w:sz w:val="28"/>
          <w:szCs w:val="28"/>
        </w:rPr>
        <w:t xml:space="preserve"> írói önbecsülésem. Önjelölt üstökösként óhajtottam berobbanni</w:t>
      </w:r>
      <w:r w:rsidRPr="00E26B58">
        <w:rPr>
          <w:rFonts w:ascii="Book Antiqua" w:hAnsi="Book Antiqua" w:cstheme="minorHAnsi"/>
          <w:sz w:val="28"/>
          <w:szCs w:val="28"/>
        </w:rPr>
        <w:t xml:space="preserve"> az irodalmi égboltra, de nemhogy az óriásbolygók ragyogó pályájának közelébe nem érek, erősen kapaszkodnom kell, hogy legalább a kis</w:t>
      </w:r>
      <w:r w:rsidR="00E37384">
        <w:rPr>
          <w:rFonts w:ascii="Book Antiqua" w:hAnsi="Book Antiqua" w:cstheme="minorHAnsi"/>
          <w:sz w:val="28"/>
          <w:szCs w:val="28"/>
        </w:rPr>
        <w:t>-</w:t>
      </w:r>
      <w:r w:rsidRPr="00E26B58">
        <w:rPr>
          <w:rFonts w:ascii="Book Antiqua" w:hAnsi="Book Antiqua" w:cstheme="minorHAnsi"/>
          <w:sz w:val="28"/>
          <w:szCs w:val="28"/>
        </w:rPr>
        <w:t>mesterek meteorrajába számíthassam magam, hogy aztán megpróbáljak magasabbra törni.</w:t>
      </w:r>
    </w:p>
    <w:p w:rsidR="00E26B58" w:rsidRPr="00E26B58" w:rsidRDefault="00E26B58" w:rsidP="00E26B58">
      <w:pPr>
        <w:ind w:firstLine="709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 xml:space="preserve">Írónak lenni persze nem versenysport. </w:t>
      </w:r>
    </w:p>
    <w:p w:rsidR="00E26B58" w:rsidRPr="00E26B58" w:rsidRDefault="00E26B58" w:rsidP="00E37384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lastRenderedPageBreak/>
        <w:t xml:space="preserve">Az ember </w:t>
      </w:r>
      <w:proofErr w:type="gramStart"/>
      <w:r w:rsidRPr="00E26B58">
        <w:rPr>
          <w:rFonts w:ascii="Book Antiqua" w:hAnsi="Book Antiqua" w:cstheme="minorHAnsi"/>
          <w:sz w:val="28"/>
          <w:szCs w:val="28"/>
        </w:rPr>
        <w:t>igyekszik</w:t>
      </w:r>
      <w:proofErr w:type="gramEnd"/>
      <w:r w:rsidRPr="00E26B58">
        <w:rPr>
          <w:rFonts w:ascii="Book Antiqua" w:hAnsi="Book Antiqua" w:cstheme="minorHAnsi"/>
          <w:sz w:val="28"/>
          <w:szCs w:val="28"/>
        </w:rPr>
        <w:t xml:space="preserve"> a ki tudja kitől örökölt vagy honnan kapott képességeit alázattal és szorgalommal szolgálva kifejteni, legjobb tudása szerint beszámolva – miről is? Az életről és önmagáról, a létezés keserves gyönyöréről? – történetekké gyúrni összevissza szerzett benyomásait és sejtelmeit. A legnagyobbaknak – ösztönösen vagy tudatosan, de – sikerül koherens világálátássá formálnia sejtelmeit és benyomásait. Műveiket ez a már-már filozófiának is mondható szemlélet hatja át és teszi össze</w:t>
      </w:r>
      <w:r w:rsidR="00E37384">
        <w:rPr>
          <w:rFonts w:ascii="Book Antiqua" w:hAnsi="Book Antiqua" w:cstheme="minorHAnsi"/>
          <w:sz w:val="28"/>
          <w:szCs w:val="28"/>
        </w:rPr>
        <w:t>-</w:t>
      </w:r>
      <w:r w:rsidRPr="00E26B58">
        <w:rPr>
          <w:rFonts w:ascii="Book Antiqua" w:hAnsi="Book Antiqua" w:cstheme="minorHAnsi"/>
          <w:sz w:val="28"/>
          <w:szCs w:val="28"/>
        </w:rPr>
        <w:t xml:space="preserve">hasonlíthatatlanul egyedivé. </w:t>
      </w:r>
    </w:p>
    <w:p w:rsidR="00E26B58" w:rsidRPr="00E26B58" w:rsidRDefault="00E26B58" w:rsidP="00E26B58">
      <w:pPr>
        <w:ind w:firstLine="709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>Ahogy Fehér György tévérendező mondta nekem egyszer:</w:t>
      </w:r>
    </w:p>
    <w:p w:rsidR="00E26B58" w:rsidRPr="00E26B58" w:rsidRDefault="00E26B58" w:rsidP="00E26B58">
      <w:pPr>
        <w:ind w:firstLine="709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 xml:space="preserve">– Dosztojevszkij minden mondata északra tart. </w:t>
      </w:r>
    </w:p>
    <w:p w:rsidR="00E26B58" w:rsidRPr="00E26B58" w:rsidRDefault="00E26B58" w:rsidP="00E37384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 xml:space="preserve">Ilyesmiken mélázva jutottam el mostanában – író felmenőimet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ke</w:t>
      </w:r>
      <w:r w:rsidR="00E37384">
        <w:rPr>
          <w:rFonts w:ascii="Book Antiqua" w:hAnsi="Book Antiqua" w:cstheme="minorHAnsi"/>
          <w:sz w:val="28"/>
          <w:szCs w:val="28"/>
        </w:rPr>
        <w:t>-</w:t>
      </w:r>
      <w:r w:rsidRPr="00E26B58">
        <w:rPr>
          <w:rFonts w:ascii="Book Antiqua" w:hAnsi="Book Antiqua" w:cstheme="minorHAnsi"/>
          <w:sz w:val="28"/>
          <w:szCs w:val="28"/>
        </w:rPr>
        <w:t>resve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 – Szakonyi Károlyig. Az én írói indulásom a hetvenes évek közepére esett, Szakonyi ekkor már beérkezett írónak számított, 1970-ben mutatták be legismertebb színdarabját, az </w:t>
      </w:r>
      <w:r w:rsidRPr="00E37384">
        <w:rPr>
          <w:rFonts w:ascii="Book Antiqua" w:hAnsi="Book Antiqua" w:cstheme="minorHAnsi"/>
          <w:i/>
          <w:sz w:val="28"/>
          <w:szCs w:val="28"/>
        </w:rPr>
        <w:t>Adáshibá</w:t>
      </w:r>
      <w:r w:rsidRPr="00E26B58">
        <w:rPr>
          <w:rFonts w:ascii="Book Antiqua" w:hAnsi="Book Antiqua" w:cstheme="minorHAnsi"/>
          <w:sz w:val="28"/>
          <w:szCs w:val="28"/>
        </w:rPr>
        <w:t xml:space="preserve">t, amely néhány éven belül a fél világot bejárta. Ugyanakkor – úgy emlékszem – mégsem számított igazán az olyan, jelentősnek értékelt írók sorába, mint Déry Tibor, Fejes Endre, Mándy Iván, Mészöly Miklós, Örkény István vagy éppen a hallgatag király, Ottlik Géza. </w:t>
      </w:r>
    </w:p>
    <w:p w:rsidR="00E26B58" w:rsidRPr="00E26B58" w:rsidRDefault="00E26B58" w:rsidP="00E26B58">
      <w:pPr>
        <w:ind w:firstLine="709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>Persze az írók kortársi megítélése ezer sebből vérzik.</w:t>
      </w:r>
    </w:p>
    <w:p w:rsidR="00E26B58" w:rsidRPr="00E26B58" w:rsidRDefault="00E26B58" w:rsidP="00E37384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37384">
        <w:rPr>
          <w:rFonts w:ascii="Book Antiqua" w:hAnsi="Book Antiqua" w:cstheme="minorHAnsi"/>
          <w:spacing w:val="-2"/>
          <w:sz w:val="28"/>
          <w:szCs w:val="28"/>
        </w:rPr>
        <w:t xml:space="preserve">Az írói „rangot” nem csupán az olvasói visszhang alapozza meg. Sőt. </w:t>
      </w:r>
      <w:r w:rsidRPr="00E26B58">
        <w:rPr>
          <w:rFonts w:ascii="Book Antiqua" w:hAnsi="Book Antiqua" w:cstheme="minorHAnsi"/>
          <w:sz w:val="28"/>
          <w:szCs w:val="28"/>
        </w:rPr>
        <w:t xml:space="preserve">A „közönségsiker” – amiben pedig bőven volt része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Szakonyinak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 – egyes </w:t>
      </w:r>
      <w:proofErr w:type="gramStart"/>
      <w:r w:rsidRPr="00E26B58">
        <w:rPr>
          <w:rFonts w:ascii="Book Antiqua" w:hAnsi="Book Antiqua" w:cstheme="minorHAnsi"/>
          <w:sz w:val="28"/>
          <w:szCs w:val="28"/>
        </w:rPr>
        <w:t>kollégák</w:t>
      </w:r>
      <w:proofErr w:type="gramEnd"/>
      <w:r w:rsidRPr="00E26B58">
        <w:rPr>
          <w:rFonts w:ascii="Book Antiqua" w:hAnsi="Book Antiqua" w:cstheme="minorHAnsi"/>
          <w:sz w:val="28"/>
          <w:szCs w:val="28"/>
        </w:rPr>
        <w:t xml:space="preserve"> szemében igencsak gyanús valami. A kortársi irodalomkritika értékítélete sem megbízható, erősen befolyásolja a politika, a hatalomhoz való viszony,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ízlésbeli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, vagy éppen baráti elfogultság és a múló divat. </w:t>
      </w:r>
    </w:p>
    <w:p w:rsidR="00E26B58" w:rsidRPr="00E26B58" w:rsidRDefault="00E26B58" w:rsidP="00E26B58">
      <w:pPr>
        <w:ind w:firstLine="709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>Szakonyi remek író.</w:t>
      </w:r>
    </w:p>
    <w:p w:rsidR="00E26B58" w:rsidRPr="00E26B58" w:rsidRDefault="00E26B58" w:rsidP="00E37384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37384">
        <w:rPr>
          <w:rFonts w:ascii="Book Antiqua" w:hAnsi="Book Antiqua" w:cstheme="minorHAnsi"/>
          <w:spacing w:val="-6"/>
          <w:sz w:val="28"/>
          <w:szCs w:val="28"/>
        </w:rPr>
        <w:t>Finom modorú, tartózkodó, mondhatni: tapintatos. Kiváló megfigyelő,</w:t>
      </w:r>
      <w:r w:rsidRPr="00E26B58">
        <w:rPr>
          <w:rFonts w:ascii="Book Antiqua" w:hAnsi="Book Antiqua" w:cstheme="minorHAnsi"/>
          <w:sz w:val="28"/>
          <w:szCs w:val="28"/>
        </w:rPr>
        <w:t xml:space="preserve"> alakjait két egyszerű mondattal képes ismerősünké tenni. Tájleírásai,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ente</w:t>
      </w:r>
      <w:r w:rsidR="00E37384">
        <w:rPr>
          <w:rFonts w:ascii="Book Antiqua" w:hAnsi="Book Antiqua" w:cstheme="minorHAnsi"/>
          <w:sz w:val="28"/>
          <w:szCs w:val="28"/>
        </w:rPr>
        <w:t>-</w:t>
      </w:r>
      <w:r w:rsidRPr="00E26B58">
        <w:rPr>
          <w:rFonts w:ascii="Book Antiqua" w:hAnsi="Book Antiqua" w:cstheme="minorHAnsi"/>
          <w:sz w:val="28"/>
          <w:szCs w:val="28"/>
        </w:rPr>
        <w:t>riőrjei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 láttató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erejükön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 túl erős érzelmi </w:t>
      </w:r>
      <w:proofErr w:type="gramStart"/>
      <w:r w:rsidRPr="00E26B58">
        <w:rPr>
          <w:rFonts w:ascii="Book Antiqua" w:hAnsi="Book Antiqua" w:cstheme="minorHAnsi"/>
          <w:sz w:val="28"/>
          <w:szCs w:val="28"/>
        </w:rPr>
        <w:t>atmoszférát</w:t>
      </w:r>
      <w:proofErr w:type="gramEnd"/>
      <w:r w:rsidRPr="00E26B58">
        <w:rPr>
          <w:rFonts w:ascii="Book Antiqua" w:hAnsi="Book Antiqua" w:cstheme="minorHAnsi"/>
          <w:sz w:val="28"/>
          <w:szCs w:val="28"/>
        </w:rPr>
        <w:t xml:space="preserve"> teremtenek. Férfias próza az övé, egy olyan öntudatos férfié, aki ismeri, elismeri, tiszteli és –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mindezek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 felett: – </w:t>
      </w:r>
      <w:r w:rsidRPr="00E26B58">
        <w:rPr>
          <w:rFonts w:ascii="Book Antiqua" w:hAnsi="Book Antiqua" w:cstheme="minorHAnsi"/>
          <w:i/>
          <w:iCs/>
          <w:sz w:val="28"/>
          <w:szCs w:val="28"/>
        </w:rPr>
        <w:t xml:space="preserve">szereti </w:t>
      </w:r>
      <w:r w:rsidRPr="00E26B58">
        <w:rPr>
          <w:rFonts w:ascii="Book Antiqua" w:hAnsi="Book Antiqua" w:cstheme="minorHAnsi"/>
          <w:sz w:val="28"/>
          <w:szCs w:val="28"/>
        </w:rPr>
        <w:t>a nőket.</w:t>
      </w:r>
    </w:p>
    <w:p w:rsidR="00E26B58" w:rsidRPr="00E26B58" w:rsidRDefault="00E26B58" w:rsidP="00E26B58">
      <w:pPr>
        <w:ind w:firstLine="709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>Ezzel én is így vagyok.</w:t>
      </w:r>
    </w:p>
    <w:p w:rsidR="00E26B58" w:rsidRPr="00E26B58" w:rsidRDefault="00E26B58" w:rsidP="00E37384">
      <w:pPr>
        <w:spacing w:before="120"/>
        <w:ind w:firstLine="709"/>
        <w:rPr>
          <w:rFonts w:ascii="Book Antiqua" w:hAnsi="Book Antiqua" w:cstheme="minorHAnsi"/>
          <w:i/>
          <w:iCs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ab/>
      </w:r>
      <w:r w:rsidRPr="00E26B58">
        <w:rPr>
          <w:rFonts w:ascii="Book Antiqua" w:hAnsi="Book Antiqua" w:cstheme="minorHAnsi"/>
          <w:i/>
          <w:iCs/>
          <w:sz w:val="28"/>
          <w:szCs w:val="28"/>
        </w:rPr>
        <w:t>„Ó, asszonyi karok, lábak, ti kulcsolódók,</w:t>
      </w:r>
    </w:p>
    <w:p w:rsidR="00E26B58" w:rsidRPr="00E26B58" w:rsidRDefault="00E26B58" w:rsidP="00E37384">
      <w:pPr>
        <w:spacing w:after="120"/>
        <w:ind w:firstLine="709"/>
        <w:rPr>
          <w:rFonts w:ascii="Book Antiqua" w:hAnsi="Book Antiqua" w:cstheme="minorHAnsi"/>
          <w:i/>
          <w:iCs/>
          <w:sz w:val="28"/>
          <w:szCs w:val="28"/>
        </w:rPr>
      </w:pPr>
      <w:r w:rsidRPr="00E26B58">
        <w:rPr>
          <w:rFonts w:ascii="Book Antiqua" w:hAnsi="Book Antiqua" w:cstheme="minorHAnsi"/>
          <w:i/>
          <w:iCs/>
          <w:sz w:val="28"/>
          <w:szCs w:val="28"/>
        </w:rPr>
        <w:tab/>
        <w:t>Összefogók a férfit, mint abroncsok a hordót!”</w:t>
      </w:r>
    </w:p>
    <w:p w:rsidR="00E26B58" w:rsidRPr="00E26B58" w:rsidRDefault="00E26B58" w:rsidP="00E37384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 xml:space="preserve">Szívem szerint idecitálnám a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Szakonyiét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 megelőző </w:t>
      </w:r>
      <w:proofErr w:type="gramStart"/>
      <w:r w:rsidRPr="00E26B58">
        <w:rPr>
          <w:rFonts w:ascii="Book Antiqua" w:hAnsi="Book Antiqua" w:cstheme="minorHAnsi"/>
          <w:sz w:val="28"/>
          <w:szCs w:val="28"/>
        </w:rPr>
        <w:t>generáció</w:t>
      </w:r>
      <w:proofErr w:type="gramEnd"/>
      <w:r w:rsidRPr="00E26B58">
        <w:rPr>
          <w:rFonts w:ascii="Book Antiqua" w:hAnsi="Book Antiqua" w:cstheme="minorHAnsi"/>
          <w:sz w:val="28"/>
          <w:szCs w:val="28"/>
        </w:rPr>
        <w:t xml:space="preserve"> kiváló költőjének, Benjámin Lászlónak </w:t>
      </w:r>
      <w:r w:rsidRPr="00E26B58">
        <w:rPr>
          <w:rFonts w:ascii="Book Antiqua" w:hAnsi="Book Antiqua" w:cstheme="minorHAnsi"/>
          <w:i/>
          <w:iCs/>
          <w:sz w:val="28"/>
          <w:szCs w:val="28"/>
        </w:rPr>
        <w:t>Két évtized</w:t>
      </w:r>
      <w:r w:rsidRPr="00E26B58">
        <w:rPr>
          <w:rFonts w:ascii="Book Antiqua" w:hAnsi="Book Antiqua" w:cstheme="minorHAnsi"/>
          <w:sz w:val="28"/>
          <w:szCs w:val="28"/>
        </w:rPr>
        <w:t xml:space="preserve"> című, gyönyörű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versvallomá</w:t>
      </w:r>
      <w:r w:rsidR="00E37384">
        <w:rPr>
          <w:rFonts w:ascii="Book Antiqua" w:hAnsi="Book Antiqua" w:cstheme="minorHAnsi"/>
          <w:sz w:val="28"/>
          <w:szCs w:val="28"/>
        </w:rPr>
        <w:t>-</w:t>
      </w:r>
      <w:r w:rsidRPr="00E26B58">
        <w:rPr>
          <w:rFonts w:ascii="Book Antiqua" w:hAnsi="Book Antiqua" w:cstheme="minorHAnsi"/>
          <w:sz w:val="28"/>
          <w:szCs w:val="28"/>
        </w:rPr>
        <w:t>sának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 xml:space="preserve"> egészét – akár mi is írhattuk volna, Szakonyival, ha költők lennénk, nem </w:t>
      </w:r>
      <w:proofErr w:type="spellStart"/>
      <w:r w:rsidRPr="00E26B58">
        <w:rPr>
          <w:rFonts w:ascii="Book Antiqua" w:hAnsi="Book Antiqua" w:cstheme="minorHAnsi"/>
          <w:sz w:val="28"/>
          <w:szCs w:val="28"/>
        </w:rPr>
        <w:t>prózisták</w:t>
      </w:r>
      <w:proofErr w:type="spellEnd"/>
      <w:r w:rsidRPr="00E26B58">
        <w:rPr>
          <w:rFonts w:ascii="Book Antiqua" w:hAnsi="Book Antiqua" w:cstheme="minorHAnsi"/>
          <w:sz w:val="28"/>
          <w:szCs w:val="28"/>
        </w:rPr>
        <w:t>.</w:t>
      </w:r>
    </w:p>
    <w:p w:rsidR="00E26B58" w:rsidRPr="00E26B58" w:rsidRDefault="00E26B58" w:rsidP="00E26B58">
      <w:pPr>
        <w:ind w:firstLine="709"/>
        <w:rPr>
          <w:rFonts w:ascii="Book Antiqua" w:hAnsi="Book Antiqua" w:cstheme="minorHAnsi"/>
          <w:sz w:val="28"/>
          <w:szCs w:val="28"/>
        </w:rPr>
      </w:pPr>
      <w:r w:rsidRPr="00E26B58">
        <w:rPr>
          <w:rFonts w:ascii="Book Antiqua" w:hAnsi="Book Antiqua" w:cstheme="minorHAnsi"/>
          <w:sz w:val="28"/>
          <w:szCs w:val="28"/>
        </w:rPr>
        <w:t xml:space="preserve">Szakonyi mondta egy interjúban: </w:t>
      </w:r>
    </w:p>
    <w:p w:rsidR="00E26B58" w:rsidRPr="00E26B58" w:rsidRDefault="00E26B58" w:rsidP="00E37384">
      <w:pPr>
        <w:ind w:firstLine="709"/>
        <w:jc w:val="both"/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</w:pPr>
      <w:r w:rsidRPr="00E26B58">
        <w:rPr>
          <w:rFonts w:ascii="Book Antiqua" w:hAnsi="Book Antiqua" w:cstheme="minorHAnsi"/>
          <w:sz w:val="28"/>
          <w:szCs w:val="28"/>
        </w:rPr>
        <w:lastRenderedPageBreak/>
        <w:t>„</w:t>
      </w:r>
      <w:r w:rsidRPr="00E26B58"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  <w:t xml:space="preserve">Hozzám a nők mindig </w:t>
      </w:r>
      <w:proofErr w:type="spellStart"/>
      <w:r w:rsidRPr="00E26B58"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  <w:t>odaadóak</w:t>
      </w:r>
      <w:proofErr w:type="spellEnd"/>
      <w:r w:rsidRPr="00E26B58"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  <w:t xml:space="preserve"> voltak, sokat kaptam tőlük, és </w:t>
      </w:r>
      <w:proofErr w:type="gramStart"/>
      <w:r w:rsidRPr="00E26B58"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  <w:t>ezt</w:t>
      </w:r>
      <w:proofErr w:type="gramEnd"/>
      <w:r w:rsidRPr="00E26B58"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  <w:t xml:space="preserve"> sosem tudtam eléggé viszonozni.”</w:t>
      </w:r>
    </w:p>
    <w:p w:rsidR="00E26B58" w:rsidRPr="00E26B58" w:rsidRDefault="00E26B58" w:rsidP="00E37384">
      <w:pPr>
        <w:ind w:firstLine="709"/>
        <w:jc w:val="both"/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</w:pPr>
      <w:r w:rsidRPr="00E26B58"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  <w:t>Szakonyi egész életművét a</w:t>
      </w:r>
      <w:r w:rsidRPr="00E26B58">
        <w:rPr>
          <w:rFonts w:ascii="Book Antiqua" w:eastAsia="Times New Roman" w:hAnsi="Book Antiqua" w:cstheme="minorHAnsi"/>
          <w:i/>
          <w:iCs/>
          <w:color w:val="060000"/>
          <w:sz w:val="28"/>
          <w:szCs w:val="28"/>
          <w:shd w:val="clear" w:color="auto" w:fill="FFFFFF"/>
          <w:lang w:eastAsia="hu-HU"/>
        </w:rPr>
        <w:t xml:space="preserve"> viszonzás</w:t>
      </w:r>
      <w:r w:rsidRPr="00E26B58"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  <w:t xml:space="preserve"> gesztusa hatja át. Nem csak a nőktől kapott tudást és szeretetet óhajtja írásai által visszaadni, minden </w:t>
      </w:r>
      <w:bookmarkStart w:id="0" w:name="_GoBack"/>
      <w:bookmarkEnd w:id="0"/>
      <w:r w:rsidRPr="00E37384">
        <w:rPr>
          <w:rFonts w:ascii="Book Antiqua" w:eastAsia="Times New Roman" w:hAnsi="Book Antiqua" w:cstheme="minorHAnsi"/>
          <w:color w:val="060000"/>
          <w:spacing w:val="-6"/>
          <w:sz w:val="28"/>
          <w:szCs w:val="28"/>
          <w:shd w:val="clear" w:color="auto" w:fill="FFFFFF"/>
          <w:lang w:eastAsia="hu-HU"/>
        </w:rPr>
        <w:t>dolgozatát áthatja az odaadó hála hangja.  Egy vallási értelemben (talán) hitet</w:t>
      </w:r>
      <w:r w:rsidR="00E37384" w:rsidRPr="00E37384">
        <w:rPr>
          <w:rFonts w:ascii="Book Antiqua" w:eastAsia="Times New Roman" w:hAnsi="Book Antiqua" w:cstheme="minorHAnsi"/>
          <w:color w:val="060000"/>
          <w:spacing w:val="-6"/>
          <w:sz w:val="28"/>
          <w:szCs w:val="28"/>
          <w:shd w:val="clear" w:color="auto" w:fill="FFFFFF"/>
          <w:lang w:eastAsia="hu-HU"/>
        </w:rPr>
        <w:t>-</w:t>
      </w:r>
      <w:r w:rsidRPr="00E26B58"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  <w:t xml:space="preserve">len ember odaadása a világ iránt, amely nagylelkűen megengedi neki (nekünk), hogy visszatükrözzük azt (őt?) </w:t>
      </w:r>
      <w:proofErr w:type="gramStart"/>
      <w:r w:rsidRPr="00E26B58"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  <w:t>homályos</w:t>
      </w:r>
      <w:proofErr w:type="gramEnd"/>
      <w:r w:rsidRPr="00E26B58"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  <w:t xml:space="preserve"> tükreinkben.</w:t>
      </w:r>
    </w:p>
    <w:p w:rsidR="00E26B58" w:rsidRPr="00E26B58" w:rsidRDefault="00E26B58" w:rsidP="00E26B58">
      <w:pPr>
        <w:ind w:firstLine="709"/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</w:pPr>
    </w:p>
    <w:p w:rsidR="00E26B58" w:rsidRPr="00E26B58" w:rsidRDefault="00E26B58" w:rsidP="00E26B58">
      <w:pPr>
        <w:ind w:firstLine="709"/>
        <w:rPr>
          <w:rFonts w:ascii="Book Antiqua" w:eastAsia="Times New Roman" w:hAnsi="Book Antiqua" w:cstheme="minorHAnsi"/>
          <w:color w:val="060000"/>
          <w:sz w:val="28"/>
          <w:szCs w:val="28"/>
          <w:shd w:val="clear" w:color="auto" w:fill="FFFFFF"/>
          <w:lang w:eastAsia="hu-HU"/>
        </w:rPr>
      </w:pPr>
    </w:p>
    <w:p w:rsidR="00E26B58" w:rsidRDefault="00E26B58" w:rsidP="00E26B58">
      <w:pPr>
        <w:ind w:firstLine="709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i/>
          <w:sz w:val="28"/>
          <w:szCs w:val="28"/>
        </w:rPr>
        <w:tab/>
      </w:r>
      <w:r w:rsidRPr="00E26B58">
        <w:rPr>
          <w:rFonts w:ascii="Book Antiqua" w:hAnsi="Book Antiqua"/>
          <w:bCs/>
          <w:i/>
          <w:sz w:val="28"/>
          <w:szCs w:val="28"/>
        </w:rPr>
        <w:t xml:space="preserve">Horváth Péter – Szakonyi Károly: Négykezes </w:t>
      </w:r>
      <w:r>
        <w:rPr>
          <w:rFonts w:ascii="Book Antiqua" w:hAnsi="Book Antiqua"/>
          <w:bCs/>
          <w:i/>
          <w:sz w:val="28"/>
          <w:szCs w:val="28"/>
        </w:rPr>
        <w:t>(beszélgetéseink)</w:t>
      </w:r>
    </w:p>
    <w:p w:rsidR="00E26B58" w:rsidRPr="00E26B58" w:rsidRDefault="00E26B58" w:rsidP="00E26B58">
      <w:pPr>
        <w:spacing w:before="120" w:line="360" w:lineRule="auto"/>
        <w:ind w:firstLine="709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i/>
          <w:sz w:val="28"/>
          <w:szCs w:val="28"/>
        </w:rPr>
        <w:tab/>
        <w:t>Kossuth Kiadó, 2021.</w:t>
      </w:r>
    </w:p>
    <w:p w:rsidR="00014A9B" w:rsidRPr="00E26B58" w:rsidRDefault="00014A9B" w:rsidP="00E26B58">
      <w:pPr>
        <w:ind w:firstLine="709"/>
        <w:rPr>
          <w:rFonts w:ascii="Book Antiqua" w:hAnsi="Book Antiqua"/>
          <w:sz w:val="28"/>
          <w:szCs w:val="28"/>
        </w:rPr>
      </w:pPr>
    </w:p>
    <w:sectPr w:rsidR="00014A9B" w:rsidRPr="00E2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8"/>
    <w:rsid w:val="00014A9B"/>
    <w:rsid w:val="001C7622"/>
    <w:rsid w:val="00E26B58"/>
    <w:rsid w:val="00E3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A5F4"/>
  <w15:chartTrackingRefBased/>
  <w15:docId w15:val="{886C4D63-B522-424B-A17D-FCC3760B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6B58"/>
    <w:pPr>
      <w:ind w:firstLine="0"/>
    </w:pPr>
    <w:rPr>
      <w:rFonts w:asciiTheme="minorHAnsi" w:hAnsiTheme="minorHAnsi" w:cstheme="min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2021-06-01T15:23:00Z</dcterms:created>
  <dcterms:modified xsi:type="dcterms:W3CDTF">2021-06-01T15:46:00Z</dcterms:modified>
</cp:coreProperties>
</file>