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51" w:rsidRPr="0045664B" w:rsidRDefault="00863F51" w:rsidP="0045664B">
      <w:pPr>
        <w:spacing w:after="0" w:line="360" w:lineRule="auto"/>
        <w:rPr>
          <w:rFonts w:ascii="Book Antiqua" w:hAnsi="Book Antiqua" w:cs="Times New Roman"/>
          <w:sz w:val="36"/>
          <w:szCs w:val="36"/>
        </w:rPr>
      </w:pPr>
      <w:r w:rsidRPr="0045664B">
        <w:rPr>
          <w:rFonts w:ascii="Book Antiqua" w:hAnsi="Book Antiqua" w:cs="Times New Roman"/>
          <w:sz w:val="36"/>
          <w:szCs w:val="36"/>
        </w:rPr>
        <w:t>Báthori Csaba</w:t>
      </w:r>
    </w:p>
    <w:p w:rsidR="0045664B" w:rsidRDefault="00F836FE" w:rsidP="0045664B">
      <w:pPr>
        <w:spacing w:after="120"/>
        <w:rPr>
          <w:rFonts w:ascii="Book Antiqua" w:hAnsi="Book Antiqua" w:cs="Times New Roman"/>
          <w:i/>
          <w:iCs/>
          <w:sz w:val="40"/>
          <w:szCs w:val="40"/>
        </w:rPr>
      </w:pPr>
      <w:r w:rsidRPr="0045664B">
        <w:rPr>
          <w:rFonts w:ascii="Book Antiqua" w:hAnsi="Book Antiqua" w:cs="Times New Roman"/>
          <w:i/>
          <w:iCs/>
          <w:sz w:val="40"/>
          <w:szCs w:val="40"/>
        </w:rPr>
        <w:t>H</w:t>
      </w:r>
      <w:r w:rsidR="0045664B" w:rsidRPr="0045664B">
        <w:rPr>
          <w:rFonts w:ascii="Book Antiqua" w:hAnsi="Book Antiqua" w:cs="Times New Roman"/>
          <w:i/>
          <w:iCs/>
          <w:sz w:val="40"/>
          <w:szCs w:val="40"/>
        </w:rPr>
        <w:t>atárok ragyogása</w:t>
      </w:r>
    </w:p>
    <w:p w:rsidR="00146C90" w:rsidRPr="0045664B" w:rsidRDefault="0045664B" w:rsidP="0045664B">
      <w:pPr>
        <w:spacing w:after="120"/>
        <w:rPr>
          <w:rFonts w:ascii="Book Antiqua" w:hAnsi="Book Antiqua" w:cs="Times New Roman"/>
          <w:i/>
          <w:sz w:val="28"/>
          <w:szCs w:val="28"/>
        </w:rPr>
      </w:pPr>
      <w:r>
        <w:rPr>
          <w:rFonts w:ascii="Book Antiqua" w:hAnsi="Book Antiqua" w:cs="Times New Roman"/>
          <w:b/>
          <w:bCs/>
          <w:iCs/>
          <w:sz w:val="28"/>
          <w:szCs w:val="28"/>
        </w:rPr>
        <w:t xml:space="preserve">Pilinszky János: </w:t>
      </w:r>
      <w:r w:rsidR="00F836FE" w:rsidRPr="0045664B">
        <w:rPr>
          <w:rFonts w:ascii="Book Antiqua" w:hAnsi="Book Antiqua" w:cs="Times New Roman"/>
          <w:b/>
          <w:bCs/>
          <w:iCs/>
          <w:sz w:val="28"/>
          <w:szCs w:val="28"/>
        </w:rPr>
        <w:t>Harmadnapon. Jegyzet a vershez</w:t>
      </w:r>
    </w:p>
    <w:p w:rsidR="00F836FE" w:rsidRPr="0045664B" w:rsidRDefault="00F836FE" w:rsidP="0045664B">
      <w:pPr>
        <w:spacing w:after="0"/>
        <w:ind w:firstLine="709"/>
        <w:rPr>
          <w:rFonts w:ascii="Book Antiqua" w:hAnsi="Book Antiqua" w:cs="Times New Roman"/>
          <w:i/>
          <w:sz w:val="28"/>
          <w:szCs w:val="28"/>
        </w:rPr>
      </w:pPr>
    </w:p>
    <w:p w:rsidR="00781F8F" w:rsidRDefault="00F836FE" w:rsidP="00781F8F">
      <w:pPr>
        <w:shd w:val="clear" w:color="auto" w:fill="FFFFFF"/>
        <w:spacing w:after="0"/>
        <w:ind w:firstLine="709"/>
        <w:jc w:val="both"/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</w:pPr>
      <w:r w:rsidRPr="0045664B">
        <w:rPr>
          <w:rFonts w:ascii="Book Antiqua" w:hAnsi="Book Antiqua" w:cs="Times New Roman"/>
          <w:sz w:val="28"/>
          <w:szCs w:val="28"/>
        </w:rPr>
        <w:t xml:space="preserve">Pilinszky </w:t>
      </w:r>
      <w:r w:rsidR="00822B3C" w:rsidRPr="0045664B">
        <w:rPr>
          <w:rFonts w:ascii="Book Antiqua" w:hAnsi="Book Antiqua" w:cs="Times New Roman"/>
          <w:sz w:val="28"/>
          <w:szCs w:val="28"/>
        </w:rPr>
        <w:t>János költészetének és gondolkodásának egyik nem mellé</w:t>
      </w:r>
      <w:r w:rsidR="0045664B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822B3C" w:rsidRPr="0045664B">
        <w:rPr>
          <w:rFonts w:ascii="Book Antiqua" w:hAnsi="Book Antiqua" w:cs="Times New Roman"/>
          <w:sz w:val="28"/>
          <w:szCs w:val="28"/>
        </w:rPr>
        <w:t>kes</w:t>
      </w:r>
      <w:proofErr w:type="spellEnd"/>
      <w:r w:rsidR="00822B3C" w:rsidRPr="0045664B">
        <w:rPr>
          <w:rFonts w:ascii="Book Antiqua" w:hAnsi="Book Antiqua" w:cs="Times New Roman"/>
          <w:sz w:val="28"/>
          <w:szCs w:val="28"/>
        </w:rPr>
        <w:t xml:space="preserve"> jegye, hogy lírai tartalmait bibliai, s azon túl teológiai tudás derengi körül. Tudjuk, minden nagy költészet végső soron </w:t>
      </w:r>
      <w:proofErr w:type="spellStart"/>
      <w:r w:rsidR="00822B3C" w:rsidRPr="0045664B">
        <w:rPr>
          <w:rFonts w:ascii="Book Antiqua" w:hAnsi="Book Antiqua" w:cs="Times New Roman"/>
          <w:sz w:val="28"/>
          <w:szCs w:val="28"/>
        </w:rPr>
        <w:t>teologikus</w:t>
      </w:r>
      <w:proofErr w:type="spellEnd"/>
      <w:r w:rsidR="00822B3C" w:rsidRPr="0045664B">
        <w:rPr>
          <w:rFonts w:ascii="Book Antiqua" w:hAnsi="Book Antiqua" w:cs="Times New Roman"/>
          <w:sz w:val="28"/>
          <w:szCs w:val="28"/>
        </w:rPr>
        <w:t xml:space="preserve"> háttérből ered (vagy </w:t>
      </w:r>
      <w:proofErr w:type="spellStart"/>
      <w:r w:rsidR="00822B3C" w:rsidRPr="0045664B">
        <w:rPr>
          <w:rFonts w:ascii="Book Antiqua" w:hAnsi="Book Antiqua" w:cs="Times New Roman"/>
          <w:sz w:val="28"/>
          <w:szCs w:val="28"/>
        </w:rPr>
        <w:t>teologikus</w:t>
      </w:r>
      <w:proofErr w:type="spellEnd"/>
      <w:r w:rsidR="00822B3C" w:rsidRPr="0045664B">
        <w:rPr>
          <w:rFonts w:ascii="Book Antiqua" w:hAnsi="Book Antiqua" w:cs="Times New Roman"/>
          <w:sz w:val="28"/>
          <w:szCs w:val="28"/>
        </w:rPr>
        <w:t xml:space="preserve"> gyökerekből </w:t>
      </w:r>
      <w:r w:rsidR="00822B3C" w:rsidRPr="0045664B">
        <w:rPr>
          <w:rFonts w:ascii="Book Antiqua" w:hAnsi="Book Antiqua" w:cs="Times New Roman"/>
          <w:i/>
          <w:sz w:val="28"/>
          <w:szCs w:val="28"/>
        </w:rPr>
        <w:t>is</w:t>
      </w:r>
      <w:r w:rsidR="00822B3C" w:rsidRPr="0045664B">
        <w:rPr>
          <w:rFonts w:ascii="Book Antiqua" w:hAnsi="Book Antiqua" w:cs="Times New Roman"/>
          <w:sz w:val="28"/>
          <w:szCs w:val="28"/>
        </w:rPr>
        <w:t xml:space="preserve"> táplálkozik), ebben az esetben azon</w:t>
      </w:r>
      <w:r w:rsidR="0045664B">
        <w:rPr>
          <w:rFonts w:ascii="Book Antiqua" w:hAnsi="Book Antiqua" w:cs="Times New Roman"/>
          <w:sz w:val="28"/>
          <w:szCs w:val="28"/>
        </w:rPr>
        <w:t>-</w:t>
      </w:r>
      <w:r w:rsidR="00822B3C" w:rsidRPr="0045664B">
        <w:rPr>
          <w:rFonts w:ascii="Book Antiqua" w:hAnsi="Book Antiqua" w:cs="Times New Roman"/>
          <w:sz w:val="28"/>
          <w:szCs w:val="28"/>
        </w:rPr>
        <w:t>ban a hittartalmak a teológiai értelmezés fősodrától eltérő alakzatok</w:t>
      </w:r>
      <w:r w:rsidR="003C3FCC" w:rsidRPr="0045664B">
        <w:rPr>
          <w:rFonts w:ascii="Book Antiqua" w:hAnsi="Book Antiqua" w:cs="Times New Roman"/>
          <w:sz w:val="28"/>
          <w:szCs w:val="28"/>
        </w:rPr>
        <w:t>ban fűtik a lírai szöveget, és e nagy művészet katartikus ereje</w:t>
      </w:r>
      <w:r w:rsidR="00822B3C" w:rsidRPr="0045664B">
        <w:rPr>
          <w:rFonts w:ascii="Book Antiqua" w:hAnsi="Book Antiqua" w:cs="Times New Roman"/>
          <w:sz w:val="28"/>
          <w:szCs w:val="28"/>
        </w:rPr>
        <w:t xml:space="preserve"> is nem kis mér</w:t>
      </w:r>
      <w:r w:rsidR="0045664B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822B3C" w:rsidRPr="0045664B">
        <w:rPr>
          <w:rFonts w:ascii="Book Antiqua" w:hAnsi="Book Antiqua" w:cs="Times New Roman"/>
          <w:sz w:val="28"/>
          <w:szCs w:val="28"/>
        </w:rPr>
        <w:t>tékben</w:t>
      </w:r>
      <w:proofErr w:type="spellEnd"/>
      <w:r w:rsidR="00822B3C" w:rsidRPr="0045664B">
        <w:rPr>
          <w:rFonts w:ascii="Book Antiqua" w:hAnsi="Book Antiqua" w:cs="Times New Roman"/>
          <w:sz w:val="28"/>
          <w:szCs w:val="28"/>
        </w:rPr>
        <w:t xml:space="preserve"> </w:t>
      </w:r>
      <w:r w:rsidR="003C3FCC" w:rsidRPr="0045664B">
        <w:rPr>
          <w:rFonts w:ascii="Book Antiqua" w:hAnsi="Book Antiqua" w:cs="Times New Roman"/>
          <w:sz w:val="28"/>
          <w:szCs w:val="28"/>
        </w:rPr>
        <w:t xml:space="preserve">öröklött </w:t>
      </w:r>
      <w:proofErr w:type="spellStart"/>
      <w:r w:rsidR="003C3FCC" w:rsidRPr="0045664B">
        <w:rPr>
          <w:rFonts w:ascii="Book Antiqua" w:hAnsi="Book Antiqua" w:cs="Times New Roman"/>
          <w:sz w:val="28"/>
          <w:szCs w:val="28"/>
        </w:rPr>
        <w:t>nézetektől</w:t>
      </w:r>
      <w:proofErr w:type="spellEnd"/>
      <w:r w:rsidR="003C3FCC" w:rsidRPr="0045664B">
        <w:rPr>
          <w:rFonts w:ascii="Book Antiqua" w:hAnsi="Book Antiqua" w:cs="Times New Roman"/>
          <w:sz w:val="28"/>
          <w:szCs w:val="28"/>
        </w:rPr>
        <w:t xml:space="preserve"> elhajló szuverenitásból táplálkozik. Pilinszky már a kezdet kezdetén is az újszövetségi történetek mintái mentén, köz</w:t>
      </w:r>
      <w:r w:rsidR="0045664B">
        <w:rPr>
          <w:rFonts w:ascii="Book Antiqua" w:hAnsi="Book Antiqua" w:cs="Times New Roman"/>
          <w:sz w:val="28"/>
          <w:szCs w:val="28"/>
        </w:rPr>
        <w:t>-</w:t>
      </w:r>
      <w:r w:rsidR="003C3FCC" w:rsidRPr="0045664B">
        <w:rPr>
          <w:rFonts w:ascii="Book Antiqua" w:hAnsi="Book Antiqua" w:cs="Times New Roman"/>
          <w:sz w:val="28"/>
          <w:szCs w:val="28"/>
        </w:rPr>
        <w:t xml:space="preserve">tudomású hasonlatok, biblikus betétek, a hit alapjait villogtató közlendők sejtelmeivel fogalmaz. Már a </w:t>
      </w:r>
      <w:r w:rsidR="003C3FCC" w:rsidRPr="0045664B">
        <w:rPr>
          <w:rFonts w:ascii="Book Antiqua" w:hAnsi="Book Antiqua" w:cs="Times New Roman"/>
          <w:i/>
          <w:sz w:val="28"/>
          <w:szCs w:val="28"/>
        </w:rPr>
        <w:t>Trapéz és korlát</w:t>
      </w:r>
      <w:r w:rsidR="00A34920" w:rsidRPr="0045664B">
        <w:rPr>
          <w:rFonts w:ascii="Book Antiqua" w:hAnsi="Book Antiqua" w:cs="Times New Roman"/>
          <w:sz w:val="28"/>
          <w:szCs w:val="28"/>
        </w:rPr>
        <w:t xml:space="preserve">ban fel-felfénylenek </w:t>
      </w:r>
      <w:r w:rsidR="003C3FCC" w:rsidRPr="0045664B">
        <w:rPr>
          <w:rFonts w:ascii="Book Antiqua" w:hAnsi="Book Antiqua" w:cs="Times New Roman"/>
          <w:sz w:val="28"/>
          <w:szCs w:val="28"/>
        </w:rPr>
        <w:t xml:space="preserve">a jézusi (majd </w:t>
      </w:r>
      <w:r w:rsidR="00A34920" w:rsidRPr="0045664B">
        <w:rPr>
          <w:rFonts w:ascii="Book Antiqua" w:hAnsi="Book Antiqua" w:cs="Times New Roman"/>
          <w:sz w:val="28"/>
          <w:szCs w:val="28"/>
        </w:rPr>
        <w:t xml:space="preserve">szélesen </w:t>
      </w:r>
      <w:proofErr w:type="spellStart"/>
      <w:r w:rsidR="00A34920" w:rsidRPr="0045664B">
        <w:rPr>
          <w:rFonts w:ascii="Book Antiqua" w:hAnsi="Book Antiqua" w:cs="Times New Roman"/>
          <w:sz w:val="28"/>
          <w:szCs w:val="28"/>
        </w:rPr>
        <w:t>kimedrelt</w:t>
      </w:r>
      <w:proofErr w:type="spellEnd"/>
      <w:r w:rsidR="003C3FCC" w:rsidRPr="0045664B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3C3FCC" w:rsidRPr="0045664B">
        <w:rPr>
          <w:rFonts w:ascii="Book Antiqua" w:hAnsi="Book Antiqua" w:cs="Times New Roman"/>
          <w:sz w:val="28"/>
          <w:szCs w:val="28"/>
        </w:rPr>
        <w:t>teologikus</w:t>
      </w:r>
      <w:proofErr w:type="spellEnd"/>
      <w:r w:rsidR="003C3FCC" w:rsidRPr="0045664B">
        <w:rPr>
          <w:rFonts w:ascii="Book Antiqua" w:hAnsi="Book Antiqua" w:cs="Times New Roman"/>
          <w:sz w:val="28"/>
          <w:szCs w:val="28"/>
        </w:rPr>
        <w:t xml:space="preserve">) elemek, későbbi nagy lírájának </w:t>
      </w:r>
      <w:r w:rsidR="003C3FCC" w:rsidRPr="0045664B">
        <w:rPr>
          <w:rFonts w:ascii="Book Antiqua" w:hAnsi="Book Antiqua" w:cs="Times New Roman"/>
          <w:spacing w:val="-2"/>
          <w:sz w:val="28"/>
          <w:szCs w:val="28"/>
        </w:rPr>
        <w:t>vezérmotívumai (csak érintőlegesen nevezek meg néhány eszmét: a tékozló</w:t>
      </w:r>
      <w:r w:rsidR="003C3FCC" w:rsidRPr="0045664B">
        <w:rPr>
          <w:rFonts w:ascii="Book Antiqua" w:hAnsi="Book Antiqua" w:cs="Times New Roman"/>
          <w:sz w:val="28"/>
          <w:szCs w:val="28"/>
        </w:rPr>
        <w:t xml:space="preserve"> fiú magatartás-emléke, a jézusi halász-motívum, a kegyelem</w:t>
      </w:r>
      <w:r w:rsidR="00A34920" w:rsidRPr="0045664B">
        <w:rPr>
          <w:rFonts w:ascii="Book Antiqua" w:hAnsi="Book Antiqua" w:cs="Times New Roman"/>
          <w:sz w:val="28"/>
          <w:szCs w:val="28"/>
        </w:rPr>
        <w:t>,</w:t>
      </w:r>
      <w:r w:rsidR="003C3FCC" w:rsidRPr="0045664B">
        <w:rPr>
          <w:rFonts w:ascii="Book Antiqua" w:hAnsi="Book Antiqua" w:cs="Times New Roman"/>
          <w:sz w:val="28"/>
          <w:szCs w:val="28"/>
        </w:rPr>
        <w:t xml:space="preserve"> vezeklés</w:t>
      </w:r>
      <w:r w:rsidR="00A34920" w:rsidRPr="0045664B">
        <w:rPr>
          <w:rFonts w:ascii="Book Antiqua" w:hAnsi="Book Antiqua" w:cs="Times New Roman"/>
          <w:sz w:val="28"/>
          <w:szCs w:val="28"/>
        </w:rPr>
        <w:t>, megváltás</w:t>
      </w:r>
      <w:r w:rsidR="003C3FCC" w:rsidRPr="0045664B">
        <w:rPr>
          <w:rFonts w:ascii="Book Antiqua" w:hAnsi="Book Antiqua" w:cs="Times New Roman"/>
          <w:sz w:val="28"/>
          <w:szCs w:val="28"/>
        </w:rPr>
        <w:t xml:space="preserve"> témája, </w:t>
      </w:r>
      <w:r w:rsidR="00A34920" w:rsidRPr="0045664B">
        <w:rPr>
          <w:rFonts w:ascii="Book Antiqua" w:hAnsi="Book Antiqua" w:cs="Times New Roman"/>
          <w:sz w:val="28"/>
          <w:szCs w:val="28"/>
        </w:rPr>
        <w:t xml:space="preserve">a </w:t>
      </w:r>
      <w:bookmarkStart w:id="0" w:name="_GoBack"/>
      <w:r w:rsidR="00A34920" w:rsidRPr="00EE0FD0">
        <w:rPr>
          <w:rFonts w:ascii="Book Antiqua" w:hAnsi="Book Antiqua" w:cs="Times New Roman"/>
          <w:sz w:val="28"/>
          <w:szCs w:val="28"/>
        </w:rPr>
        <w:t>bibliai szörnyek</w:t>
      </w:r>
      <w:r w:rsidR="00EE0FD0" w:rsidRPr="00EE0FD0">
        <w:rPr>
          <w:rFonts w:ascii="Book Antiqua" w:hAnsi="Book Antiqua" w:cs="Times New Roman"/>
          <w:sz w:val="28"/>
          <w:szCs w:val="28"/>
        </w:rPr>
        <w:t xml:space="preserve"> </w:t>
      </w:r>
      <w:r w:rsidR="00A34920" w:rsidRPr="00EE0FD0">
        <w:rPr>
          <w:rFonts w:ascii="Book Antiqua" w:hAnsi="Book Antiqua" w:cs="Times New Roman"/>
          <w:sz w:val="28"/>
          <w:szCs w:val="28"/>
        </w:rPr>
        <w:t xml:space="preserve">fenyegetése, és </w:t>
      </w:r>
      <w:bookmarkEnd w:id="0"/>
      <w:r w:rsidR="00A34920" w:rsidRPr="0045664B">
        <w:rPr>
          <w:rFonts w:ascii="Book Antiqua" w:hAnsi="Book Antiqua" w:cs="Times New Roman"/>
          <w:sz w:val="28"/>
          <w:szCs w:val="28"/>
        </w:rPr>
        <w:t>mások).</w:t>
      </w:r>
      <w:r w:rsidR="003C3FCC" w:rsidRPr="0045664B">
        <w:rPr>
          <w:rFonts w:ascii="Book Antiqua" w:hAnsi="Book Antiqua" w:cs="Times New Roman"/>
          <w:sz w:val="28"/>
          <w:szCs w:val="28"/>
        </w:rPr>
        <w:t xml:space="preserve"> </w:t>
      </w:r>
      <w:r w:rsidR="00A34920" w:rsidRPr="0045664B">
        <w:rPr>
          <w:rFonts w:ascii="Book Antiqua" w:hAnsi="Book Antiqua" w:cs="Times New Roman"/>
          <w:sz w:val="28"/>
          <w:szCs w:val="28"/>
        </w:rPr>
        <w:t xml:space="preserve">Ez a biblikus attitűd aztán a </w:t>
      </w:r>
      <w:r w:rsidR="00A34920" w:rsidRPr="0045664B">
        <w:rPr>
          <w:rFonts w:ascii="Book Antiqua" w:hAnsi="Book Antiqua" w:cs="Times New Roman"/>
          <w:i/>
          <w:sz w:val="28"/>
          <w:szCs w:val="28"/>
        </w:rPr>
        <w:t>Harmadnapon</w:t>
      </w:r>
      <w:r w:rsidR="00A34920" w:rsidRPr="0045664B">
        <w:rPr>
          <w:rFonts w:ascii="Book Antiqua" w:hAnsi="Book Antiqua" w:cs="Times New Roman"/>
          <w:sz w:val="28"/>
          <w:szCs w:val="28"/>
        </w:rPr>
        <w:t xml:space="preserve"> című kötetben (1959) dúsul szinte </w:t>
      </w:r>
      <w:proofErr w:type="spellStart"/>
      <w:r w:rsidR="00A34920" w:rsidRPr="0045664B">
        <w:rPr>
          <w:rFonts w:ascii="Book Antiqua" w:hAnsi="Book Antiqua" w:cs="Times New Roman"/>
          <w:sz w:val="28"/>
          <w:szCs w:val="28"/>
        </w:rPr>
        <w:t>forradal</w:t>
      </w:r>
      <w:r w:rsidR="0045664B">
        <w:rPr>
          <w:rFonts w:ascii="Book Antiqua" w:hAnsi="Book Antiqua" w:cs="Times New Roman"/>
          <w:sz w:val="28"/>
          <w:szCs w:val="28"/>
        </w:rPr>
        <w:t>-</w:t>
      </w:r>
      <w:r w:rsidR="00A34920" w:rsidRPr="0045664B">
        <w:rPr>
          <w:rFonts w:ascii="Book Antiqua" w:hAnsi="Book Antiqua" w:cs="Times New Roman"/>
          <w:sz w:val="28"/>
          <w:szCs w:val="28"/>
        </w:rPr>
        <w:t>mian</w:t>
      </w:r>
      <w:proofErr w:type="spellEnd"/>
      <w:r w:rsidR="00A34920" w:rsidRPr="0045664B">
        <w:rPr>
          <w:rFonts w:ascii="Book Antiqua" w:hAnsi="Book Antiqua" w:cs="Times New Roman"/>
          <w:sz w:val="28"/>
          <w:szCs w:val="28"/>
        </w:rPr>
        <w:t xml:space="preserve"> eretnek vonásokkal, s kimondatlanul, majdnem észrevétlen, de annál nyomatékosabb érvénnyel téríti magasba az összetett elvontság felé terelt költeményeket. Tudjuk, persze, ma már mindenki tudja: Pilinszky egész költészete a </w:t>
      </w:r>
      <w:r w:rsidR="00A34920" w:rsidRPr="0045664B">
        <w:rPr>
          <w:rFonts w:ascii="Book Antiqua" w:hAnsi="Book Antiqua" w:cs="Times New Roman"/>
          <w:i/>
          <w:sz w:val="28"/>
          <w:szCs w:val="28"/>
        </w:rPr>
        <w:t>század botrányá</w:t>
      </w:r>
      <w:r w:rsidR="00A34920" w:rsidRPr="0045664B">
        <w:rPr>
          <w:rFonts w:ascii="Book Antiqua" w:hAnsi="Book Antiqua" w:cs="Times New Roman"/>
          <w:sz w:val="28"/>
          <w:szCs w:val="28"/>
        </w:rPr>
        <w:t xml:space="preserve">n mélyen megrendült keresztény </w:t>
      </w:r>
      <w:proofErr w:type="spellStart"/>
      <w:r w:rsidR="00A34920" w:rsidRPr="0045664B">
        <w:rPr>
          <w:rFonts w:ascii="Book Antiqua" w:hAnsi="Book Antiqua" w:cs="Times New Roman"/>
          <w:sz w:val="28"/>
          <w:szCs w:val="28"/>
        </w:rPr>
        <w:t>humá</w:t>
      </w:r>
      <w:r w:rsidR="00781F8F">
        <w:rPr>
          <w:rFonts w:ascii="Book Antiqua" w:hAnsi="Book Antiqua" w:cs="Times New Roman"/>
          <w:sz w:val="28"/>
          <w:szCs w:val="28"/>
        </w:rPr>
        <w:t>-</w:t>
      </w:r>
      <w:r w:rsidR="00A34920" w:rsidRPr="00781F8F">
        <w:rPr>
          <w:rFonts w:ascii="Book Antiqua" w:hAnsi="Book Antiqua" w:cs="Times New Roman"/>
          <w:spacing w:val="-2"/>
          <w:sz w:val="28"/>
          <w:szCs w:val="28"/>
        </w:rPr>
        <w:t>num</w:t>
      </w:r>
      <w:proofErr w:type="spellEnd"/>
      <w:r w:rsidR="00A34920" w:rsidRPr="00781F8F">
        <w:rPr>
          <w:rFonts w:ascii="Book Antiqua" w:hAnsi="Book Antiqua" w:cs="Times New Roman"/>
          <w:spacing w:val="-2"/>
          <w:sz w:val="28"/>
          <w:szCs w:val="28"/>
        </w:rPr>
        <w:t xml:space="preserve"> tanúságtétele, életfogytig gyakorolt, rendületlenül hirdetett, csaknem</w:t>
      </w:r>
      <w:r w:rsidR="00A34920" w:rsidRPr="0045664B">
        <w:rPr>
          <w:rFonts w:ascii="Book Antiqua" w:hAnsi="Book Antiqua" w:cs="Times New Roman"/>
          <w:sz w:val="28"/>
          <w:szCs w:val="28"/>
        </w:rPr>
        <w:t xml:space="preserve"> egyedülálló etikai tette. De miközben sorra magunkhoz vesszük e </w:t>
      </w:r>
      <w:r w:rsidR="00DC0E43" w:rsidRPr="0045664B">
        <w:rPr>
          <w:rFonts w:ascii="Book Antiqua" w:hAnsi="Book Antiqua" w:cs="Times New Roman"/>
          <w:sz w:val="28"/>
          <w:szCs w:val="28"/>
        </w:rPr>
        <w:t>jézusi halandó személyes és személyen túlmutató remekműveit, olykor meg</w:t>
      </w:r>
      <w:r w:rsidR="00781F8F">
        <w:rPr>
          <w:rFonts w:ascii="Book Antiqua" w:hAnsi="Book Antiqua" w:cs="Times New Roman"/>
          <w:sz w:val="28"/>
          <w:szCs w:val="28"/>
        </w:rPr>
        <w:t>-</w:t>
      </w:r>
      <w:r w:rsidR="00DC0E43" w:rsidRPr="0045664B">
        <w:rPr>
          <w:rFonts w:ascii="Book Antiqua" w:hAnsi="Book Antiqua" w:cs="Times New Roman"/>
          <w:sz w:val="28"/>
          <w:szCs w:val="28"/>
        </w:rPr>
        <w:t xml:space="preserve">feledkezünk arról a hallatlanul bátor, ortodoxiáktól fázó, öntörvényű képzetvilágról, amely Pilinszky eszméletét oly lenyűgöző jelentésekben tükrözi. Azt hiszem, életműve </w:t>
      </w:r>
      <w:r w:rsidR="00DC0E43" w:rsidRPr="0045664B">
        <w:rPr>
          <w:rFonts w:ascii="Book Antiqua" w:hAnsi="Book Antiqua" w:cs="Times New Roman"/>
          <w:i/>
          <w:sz w:val="28"/>
          <w:szCs w:val="28"/>
        </w:rPr>
        <w:t>egészében</w:t>
      </w:r>
      <w:r w:rsidR="00DC0E43" w:rsidRPr="0045664B">
        <w:rPr>
          <w:rFonts w:ascii="Book Antiqua" w:hAnsi="Book Antiqua" w:cs="Times New Roman"/>
          <w:sz w:val="28"/>
          <w:szCs w:val="28"/>
        </w:rPr>
        <w:t xml:space="preserve"> apokrif</w:t>
      </w:r>
      <w:r w:rsidR="00D67495" w:rsidRPr="0045664B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D67495" w:rsidRPr="0045664B">
        <w:rPr>
          <w:rFonts w:ascii="Book Antiqua" w:hAnsi="Book Antiqua" w:cs="Times New Roman"/>
          <w:sz w:val="28"/>
          <w:szCs w:val="28"/>
        </w:rPr>
        <w:t>vétetésű</w:t>
      </w:r>
      <w:proofErr w:type="spellEnd"/>
      <w:r w:rsidR="00D67495" w:rsidRPr="0045664B">
        <w:rPr>
          <w:rFonts w:ascii="Book Antiqua" w:hAnsi="Book Antiqua" w:cs="Times New Roman"/>
          <w:sz w:val="28"/>
          <w:szCs w:val="28"/>
        </w:rPr>
        <w:t>, tehát művésze</w:t>
      </w:r>
      <w:r w:rsidR="00C22A07" w:rsidRPr="0045664B">
        <w:rPr>
          <w:rFonts w:ascii="Book Antiqua" w:hAnsi="Book Antiqua" w:cs="Times New Roman"/>
          <w:sz w:val="28"/>
          <w:szCs w:val="28"/>
        </w:rPr>
        <w:t xml:space="preserve">t felé tájékozódó tudása a </w:t>
      </w:r>
      <w:proofErr w:type="spellStart"/>
      <w:r w:rsidR="00C22A07" w:rsidRPr="0045664B">
        <w:rPr>
          <w:rFonts w:ascii="Book Antiqua" w:hAnsi="Book Antiqua" w:cs="Times New Roman"/>
          <w:sz w:val="28"/>
          <w:szCs w:val="28"/>
        </w:rPr>
        <w:t>teolo</w:t>
      </w:r>
      <w:r w:rsidR="00D67495" w:rsidRPr="0045664B">
        <w:rPr>
          <w:rFonts w:ascii="Book Antiqua" w:hAnsi="Book Antiqua" w:cs="Times New Roman"/>
          <w:sz w:val="28"/>
          <w:szCs w:val="28"/>
        </w:rPr>
        <w:t>gikus</w:t>
      </w:r>
      <w:proofErr w:type="spellEnd"/>
      <w:r w:rsidR="00D67495" w:rsidRPr="0045664B">
        <w:rPr>
          <w:rFonts w:ascii="Book Antiqua" w:hAnsi="Book Antiqua" w:cs="Times New Roman"/>
          <w:sz w:val="28"/>
          <w:szCs w:val="28"/>
        </w:rPr>
        <w:t xml:space="preserve"> kánon</w:t>
      </w:r>
      <w:r w:rsidR="00DC0E43" w:rsidRPr="0045664B">
        <w:rPr>
          <w:rFonts w:ascii="Book Antiqua" w:hAnsi="Book Antiqua" w:cs="Times New Roman"/>
          <w:sz w:val="28"/>
          <w:szCs w:val="28"/>
        </w:rPr>
        <w:t xml:space="preserve"> </w:t>
      </w:r>
      <w:r w:rsidR="00D67495" w:rsidRPr="0045664B">
        <w:rPr>
          <w:rFonts w:ascii="Book Antiqua" w:hAnsi="Book Antiqua" w:cs="Times New Roman"/>
          <w:sz w:val="28"/>
          <w:szCs w:val="28"/>
        </w:rPr>
        <w:t xml:space="preserve">határain túl terjeszkedik, onnan meríti varázslatának hatalmas erejét. Akad vélemény, amely arról </w:t>
      </w:r>
      <w:proofErr w:type="spellStart"/>
      <w:r w:rsidR="00D67495" w:rsidRPr="0045664B">
        <w:rPr>
          <w:rFonts w:ascii="Book Antiqua" w:hAnsi="Book Antiqua" w:cs="Times New Roman"/>
          <w:sz w:val="28"/>
          <w:szCs w:val="28"/>
        </w:rPr>
        <w:t>fagga</w:t>
      </w:r>
      <w:r w:rsidR="00781F8F">
        <w:rPr>
          <w:rFonts w:ascii="Book Antiqua" w:hAnsi="Book Antiqua" w:cs="Times New Roman"/>
          <w:sz w:val="28"/>
          <w:szCs w:val="28"/>
        </w:rPr>
        <w:t>-</w:t>
      </w:r>
      <w:r w:rsidR="00D67495" w:rsidRPr="0045664B">
        <w:rPr>
          <w:rFonts w:ascii="Book Antiqua" w:hAnsi="Book Antiqua" w:cs="Times New Roman"/>
          <w:sz w:val="28"/>
          <w:szCs w:val="28"/>
        </w:rPr>
        <w:t>tózik</w:t>
      </w:r>
      <w:proofErr w:type="spellEnd"/>
      <w:r w:rsidR="00D67495" w:rsidRPr="0045664B">
        <w:rPr>
          <w:rFonts w:ascii="Book Antiqua" w:hAnsi="Book Antiqua" w:cs="Times New Roman"/>
          <w:sz w:val="28"/>
          <w:szCs w:val="28"/>
        </w:rPr>
        <w:t xml:space="preserve">: miért nem lett </w:t>
      </w:r>
      <w:r w:rsidR="00D67495" w:rsidRPr="0045664B">
        <w:rPr>
          <w:rFonts w:ascii="Book Antiqua" w:hAnsi="Book Antiqua" w:cs="Times New Roman"/>
          <w:i/>
          <w:sz w:val="28"/>
          <w:szCs w:val="28"/>
        </w:rPr>
        <w:t>Apokrif</w:t>
      </w:r>
      <w:r w:rsidR="00D67495" w:rsidRPr="0045664B">
        <w:rPr>
          <w:rFonts w:ascii="Book Antiqua" w:hAnsi="Book Antiqua" w:cs="Times New Roman"/>
          <w:sz w:val="28"/>
          <w:szCs w:val="28"/>
        </w:rPr>
        <w:t xml:space="preserve"> a címe a </w:t>
      </w:r>
      <w:r w:rsidR="00D67495" w:rsidRPr="0045664B">
        <w:rPr>
          <w:rFonts w:ascii="Book Antiqua" w:hAnsi="Book Antiqua" w:cs="Times New Roman"/>
          <w:i/>
          <w:sz w:val="28"/>
          <w:szCs w:val="28"/>
        </w:rPr>
        <w:t>Harmadnapon</w:t>
      </w:r>
      <w:r w:rsidR="00D67495" w:rsidRPr="0045664B">
        <w:rPr>
          <w:rFonts w:ascii="Book Antiqua" w:hAnsi="Book Antiqua" w:cs="Times New Roman"/>
          <w:sz w:val="28"/>
          <w:szCs w:val="28"/>
        </w:rPr>
        <w:t xml:space="preserve"> kötetnek, hiszen ez a fogalom Pilinszky látomásainak egyenértékesebb tükre lett volna, mint a feltámadásra utaló </w:t>
      </w:r>
      <w:r w:rsidR="00D67495" w:rsidRPr="0045664B">
        <w:rPr>
          <w:rFonts w:ascii="Book Antiqua" w:hAnsi="Book Antiqua" w:cs="Times New Roman"/>
          <w:i/>
          <w:sz w:val="28"/>
          <w:szCs w:val="28"/>
        </w:rPr>
        <w:t>Harmadnapon</w:t>
      </w:r>
      <w:r w:rsidR="00D67495" w:rsidRPr="0045664B">
        <w:rPr>
          <w:rFonts w:ascii="Book Antiqua" w:hAnsi="Book Antiqua" w:cs="Times New Roman"/>
          <w:sz w:val="28"/>
          <w:szCs w:val="28"/>
        </w:rPr>
        <w:t xml:space="preserve">. A kérdés nem indokolatlan. </w:t>
      </w:r>
      <w:r w:rsidR="007C69C7" w:rsidRPr="0045664B">
        <w:rPr>
          <w:rFonts w:ascii="Book Antiqua" w:hAnsi="Book Antiqua" w:cs="Times New Roman"/>
          <w:sz w:val="28"/>
          <w:szCs w:val="28"/>
        </w:rPr>
        <w:t xml:space="preserve">Én ebben a rövid jegyzetben csak a nyolcsoros </w:t>
      </w:r>
      <w:r w:rsidR="007C69C7" w:rsidRPr="0045664B">
        <w:rPr>
          <w:rFonts w:ascii="Book Antiqua" w:hAnsi="Book Antiqua" w:cs="Times New Roman"/>
          <w:i/>
          <w:sz w:val="28"/>
          <w:szCs w:val="28"/>
        </w:rPr>
        <w:t>Harmadnapon</w:t>
      </w:r>
      <w:r w:rsidR="007C69C7" w:rsidRPr="0045664B">
        <w:rPr>
          <w:rFonts w:ascii="Book Antiqua" w:hAnsi="Book Antiqua" w:cs="Times New Roman"/>
          <w:sz w:val="28"/>
          <w:szCs w:val="28"/>
        </w:rPr>
        <w:t xml:space="preserve"> című vershez fűzök három rövid megjegyzést; s talán hitelesen tudom igazolni, hogy ez az ökumenikus ihletésű, meghökkentően szuverén, bár meglehetősen fedetten közeledő szöveg mégiscsak Pilinszky felfogásának igazi pedig</w:t>
      </w:r>
      <w:r w:rsidR="00781F8F">
        <w:rPr>
          <w:rFonts w:ascii="Book Antiqua" w:hAnsi="Book Antiqua" w:cs="Times New Roman"/>
          <w:sz w:val="28"/>
          <w:szCs w:val="28"/>
        </w:rPr>
        <w:t>-</w:t>
      </w:r>
      <w:r w:rsidR="007C69C7" w:rsidRPr="0045664B">
        <w:rPr>
          <w:rFonts w:ascii="Book Antiqua" w:hAnsi="Book Antiqua" w:cs="Times New Roman"/>
          <w:sz w:val="28"/>
          <w:szCs w:val="28"/>
        </w:rPr>
        <w:lastRenderedPageBreak/>
        <w:t>réje, zsidóságot és kereszténységet reménységben, bocsánatkérő hit</w:t>
      </w:r>
      <w:r w:rsidR="00781F8F">
        <w:rPr>
          <w:rFonts w:ascii="Book Antiqua" w:hAnsi="Book Antiqua" w:cs="Times New Roman"/>
          <w:sz w:val="28"/>
          <w:szCs w:val="28"/>
        </w:rPr>
        <w:t>-</w:t>
      </w:r>
      <w:r w:rsidR="007C69C7" w:rsidRPr="0045664B">
        <w:rPr>
          <w:rFonts w:ascii="Book Antiqua" w:hAnsi="Book Antiqua" w:cs="Times New Roman"/>
          <w:sz w:val="28"/>
          <w:szCs w:val="28"/>
        </w:rPr>
        <w:t>vallásban és hittestvériségben egybeölelő dokumentuma.</w:t>
      </w:r>
      <w:r w:rsidR="006D48D1" w:rsidRPr="0045664B">
        <w:rPr>
          <w:rFonts w:ascii="Book Antiqua" w:hAnsi="Book Antiqua" w:cs="Times New Roman"/>
          <w:sz w:val="28"/>
          <w:szCs w:val="28"/>
        </w:rPr>
        <w:t xml:space="preserve"> Tagadhatatlan, hogy a magyar líratörténetben akadt a holokauszt túlélőinek oldalán is egy-egy nagyszerű kéznyújtás, ugyancsak eretnek hátterű jelzés, amely Pilinszkyvel párhuzamos magasság felé mutat. Hogy csak egyet, egyetlen </w:t>
      </w:r>
      <w:r w:rsidR="00AF580E" w:rsidRPr="0045664B">
        <w:rPr>
          <w:rFonts w:ascii="Book Antiqua" w:hAnsi="Book Antiqua" w:cs="Times New Roman"/>
          <w:sz w:val="28"/>
          <w:szCs w:val="28"/>
        </w:rPr>
        <w:t xml:space="preserve">ilyen ragyogó határátlépést említsek: emlékezzünk a </w:t>
      </w:r>
      <w:r w:rsidR="00AF580E" w:rsidRPr="00781F8F">
        <w:rPr>
          <w:rFonts w:ascii="Book Antiqua" w:hAnsi="Book Antiqua" w:cs="Times New Roman"/>
          <w:i/>
          <w:iCs/>
          <w:sz w:val="28"/>
          <w:szCs w:val="28"/>
        </w:rPr>
        <w:t>Harmadnapon</w:t>
      </w:r>
      <w:r w:rsidR="00AF580E" w:rsidRPr="0045664B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AF580E" w:rsidRPr="0045664B">
        <w:rPr>
          <w:rFonts w:ascii="Book Antiqua" w:hAnsi="Book Antiqua" w:cs="Times New Roman"/>
          <w:sz w:val="28"/>
          <w:szCs w:val="28"/>
        </w:rPr>
        <w:t>olvasá</w:t>
      </w:r>
      <w:r w:rsidR="00781F8F">
        <w:rPr>
          <w:rFonts w:ascii="Book Antiqua" w:hAnsi="Book Antiqua" w:cs="Times New Roman"/>
          <w:sz w:val="28"/>
          <w:szCs w:val="28"/>
        </w:rPr>
        <w:t>-</w:t>
      </w:r>
      <w:r w:rsidR="00AF580E" w:rsidRPr="0045664B">
        <w:rPr>
          <w:rFonts w:ascii="Book Antiqua" w:hAnsi="Book Antiqua" w:cs="Times New Roman"/>
          <w:sz w:val="28"/>
          <w:szCs w:val="28"/>
        </w:rPr>
        <w:t>sakor</w:t>
      </w:r>
      <w:proofErr w:type="spellEnd"/>
      <w:r w:rsidR="00AF580E" w:rsidRPr="0045664B">
        <w:rPr>
          <w:rFonts w:ascii="Book Antiqua" w:hAnsi="Book Antiqua" w:cs="Times New Roman"/>
          <w:sz w:val="28"/>
          <w:szCs w:val="28"/>
        </w:rPr>
        <w:t xml:space="preserve"> Székely Magda </w:t>
      </w:r>
      <w:proofErr w:type="spellStart"/>
      <w:r w:rsidR="00AF580E" w:rsidRPr="0045664B">
        <w:rPr>
          <w:rFonts w:ascii="Book Antiqua" w:hAnsi="Book Antiqua" w:cs="Times New Roman"/>
          <w:i/>
          <w:sz w:val="28"/>
          <w:szCs w:val="28"/>
        </w:rPr>
        <w:t>Albigens</w:t>
      </w:r>
      <w:proofErr w:type="spellEnd"/>
      <w:r w:rsidR="00AF580E" w:rsidRPr="0045664B">
        <w:rPr>
          <w:rFonts w:ascii="Book Antiqua" w:hAnsi="Book Antiqua" w:cs="Times New Roman"/>
          <w:sz w:val="28"/>
          <w:szCs w:val="28"/>
        </w:rPr>
        <w:t xml:space="preserve"> </w:t>
      </w:r>
      <w:r w:rsidR="00934690" w:rsidRPr="0045664B">
        <w:rPr>
          <w:rFonts w:ascii="Book Antiqua" w:hAnsi="Book Antiqua" w:cs="Times New Roman"/>
          <w:i/>
          <w:sz w:val="28"/>
          <w:szCs w:val="28"/>
        </w:rPr>
        <w:t>töredék</w:t>
      </w:r>
      <w:r w:rsidR="00934690" w:rsidRPr="0045664B">
        <w:rPr>
          <w:rFonts w:ascii="Book Antiqua" w:hAnsi="Book Antiqua" w:cs="Times New Roman"/>
          <w:sz w:val="28"/>
          <w:szCs w:val="28"/>
        </w:rPr>
        <w:t xml:space="preserve"> című versére (</w:t>
      </w:r>
      <w:r w:rsidR="00AF580E" w:rsidRPr="0045664B">
        <w:rPr>
          <w:rFonts w:ascii="Book Antiqua" w:hAnsi="Book Antiqua" w:cs="Times New Roman"/>
          <w:sz w:val="28"/>
          <w:szCs w:val="28"/>
        </w:rPr>
        <w:t xml:space="preserve">a </w:t>
      </w:r>
      <w:r w:rsidR="00AF580E" w:rsidRPr="0045664B">
        <w:rPr>
          <w:rFonts w:ascii="Book Antiqua" w:hAnsi="Book Antiqua" w:cs="Times New Roman"/>
          <w:i/>
          <w:sz w:val="28"/>
          <w:szCs w:val="28"/>
        </w:rPr>
        <w:t>Harmadnapon</w:t>
      </w:r>
      <w:r w:rsidR="00AF580E" w:rsidRPr="0045664B">
        <w:rPr>
          <w:rFonts w:ascii="Book Antiqua" w:hAnsi="Book Antiqua" w:cs="Times New Roman"/>
          <w:sz w:val="28"/>
          <w:szCs w:val="28"/>
        </w:rPr>
        <w:t xml:space="preserve"> ellentett-testvéri, a szív legtisztább hullámaiból kiemelkedő párja</w:t>
      </w:r>
      <w:r w:rsidR="00934690" w:rsidRPr="0045664B">
        <w:rPr>
          <w:rFonts w:ascii="Book Antiqua" w:hAnsi="Book Antiqua" w:cs="Times New Roman"/>
          <w:sz w:val="28"/>
          <w:szCs w:val="28"/>
        </w:rPr>
        <w:t xml:space="preserve"> ez a darab</w:t>
      </w:r>
      <w:r w:rsidR="00AF580E" w:rsidRPr="0045664B">
        <w:rPr>
          <w:rFonts w:ascii="Book Antiqua" w:hAnsi="Book Antiqua" w:cs="Times New Roman"/>
          <w:sz w:val="28"/>
          <w:szCs w:val="28"/>
        </w:rPr>
        <w:t>, hadd idézzem</w:t>
      </w:r>
      <w:r w:rsidR="00934690" w:rsidRPr="0045664B">
        <w:rPr>
          <w:rFonts w:ascii="Book Antiqua" w:hAnsi="Book Antiqua" w:cs="Times New Roman"/>
          <w:sz w:val="28"/>
          <w:szCs w:val="28"/>
        </w:rPr>
        <w:t xml:space="preserve"> második részét</w:t>
      </w:r>
      <w:r w:rsidR="00AF580E" w:rsidRPr="0045664B">
        <w:rPr>
          <w:rFonts w:ascii="Book Antiqua" w:hAnsi="Book Antiqua" w:cs="Times New Roman"/>
          <w:sz w:val="28"/>
          <w:szCs w:val="28"/>
        </w:rPr>
        <w:t>):</w:t>
      </w:r>
      <w:r w:rsidR="00934690" w:rsidRPr="0045664B">
        <w:rPr>
          <w:rFonts w:ascii="Book Antiqua" w:hAnsi="Book Antiqua" w:cs="Times New Roman"/>
          <w:sz w:val="28"/>
          <w:szCs w:val="28"/>
        </w:rPr>
        <w:t xml:space="preserve"> </w:t>
      </w:r>
      <w:r w:rsidR="00934690" w:rsidRPr="0045664B">
        <w:rPr>
          <w:rFonts w:ascii="Book Antiqua" w:eastAsia="Times New Roman" w:hAnsi="Book Antiqua" w:cs="Times New Roman"/>
          <w:i/>
          <w:color w:val="050505"/>
          <w:sz w:val="28"/>
          <w:szCs w:val="28"/>
          <w:lang w:eastAsia="hu-HU"/>
        </w:rPr>
        <w:t xml:space="preserve">Mikor a jóra semmi jel, / jel nélkül is indulni kell / az egyre sürgetőbb sötétben, // amíg kigyúlva, mint az ablak, / </w:t>
      </w:r>
      <w:r w:rsidR="00934690" w:rsidRPr="00781F8F">
        <w:rPr>
          <w:rFonts w:ascii="Book Antiqua" w:eastAsia="Times New Roman" w:hAnsi="Book Antiqua" w:cs="Times New Roman"/>
          <w:i/>
          <w:color w:val="050505"/>
          <w:spacing w:val="-4"/>
          <w:sz w:val="28"/>
          <w:szCs w:val="28"/>
          <w:lang w:eastAsia="hu-HU"/>
        </w:rPr>
        <w:t>magam világítok magamnak.</w:t>
      </w:r>
      <w:r w:rsidR="00934690" w:rsidRPr="00781F8F">
        <w:rPr>
          <w:rFonts w:ascii="Book Antiqua" w:eastAsia="Times New Roman" w:hAnsi="Book Antiqua" w:cs="Times New Roman"/>
          <w:color w:val="050505"/>
          <w:spacing w:val="-4"/>
          <w:sz w:val="28"/>
          <w:szCs w:val="28"/>
          <w:lang w:eastAsia="hu-HU"/>
        </w:rPr>
        <w:t>). Másik, kortársi párját jegyzetem végén idézném.</w:t>
      </w:r>
      <w:r w:rsidR="00712263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br/>
        <w:t xml:space="preserve"> </w:t>
      </w:r>
      <w:r w:rsidR="00712263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ab/>
        <w:t xml:space="preserve">1. </w:t>
      </w:r>
      <w:r w:rsidR="0020396C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 xml:space="preserve">A vers – és a közvetlen előtte álló </w:t>
      </w:r>
      <w:proofErr w:type="spellStart"/>
      <w:r w:rsidR="0020396C" w:rsidRPr="0045664B">
        <w:rPr>
          <w:rFonts w:ascii="Book Antiqua" w:eastAsia="Times New Roman" w:hAnsi="Book Antiqua" w:cs="Times New Roman"/>
          <w:i/>
          <w:color w:val="050505"/>
          <w:sz w:val="28"/>
          <w:szCs w:val="28"/>
          <w:lang w:eastAsia="hu-HU"/>
        </w:rPr>
        <w:t>Ravenbrücki</w:t>
      </w:r>
      <w:proofErr w:type="spellEnd"/>
      <w:r w:rsidR="0020396C" w:rsidRPr="0045664B">
        <w:rPr>
          <w:rFonts w:ascii="Book Antiqua" w:eastAsia="Times New Roman" w:hAnsi="Book Antiqua" w:cs="Times New Roman"/>
          <w:i/>
          <w:color w:val="050505"/>
          <w:sz w:val="28"/>
          <w:szCs w:val="28"/>
          <w:lang w:eastAsia="hu-HU"/>
        </w:rPr>
        <w:t xml:space="preserve"> passió</w:t>
      </w:r>
      <w:r w:rsidR="0020396C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 xml:space="preserve"> – nyíltan az egyik koncentrációs tábort </w:t>
      </w:r>
      <w:r w:rsidR="00B809E6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 xml:space="preserve">nevezi meg, egy </w:t>
      </w:r>
      <w:r w:rsidR="00B809E6" w:rsidRPr="0045664B">
        <w:rPr>
          <w:rFonts w:ascii="Book Antiqua" w:eastAsia="Times New Roman" w:hAnsi="Book Antiqua" w:cs="Times New Roman"/>
          <w:i/>
          <w:color w:val="050505"/>
          <w:sz w:val="28"/>
          <w:szCs w:val="28"/>
          <w:lang w:eastAsia="hu-HU"/>
        </w:rPr>
        <w:t>leroskadást</w:t>
      </w:r>
      <w:r w:rsidR="00B809E6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 xml:space="preserve">, majd </w:t>
      </w:r>
      <w:r w:rsidR="00B809E6" w:rsidRPr="0045664B">
        <w:rPr>
          <w:rFonts w:ascii="Book Antiqua" w:eastAsia="Times New Roman" w:hAnsi="Book Antiqua" w:cs="Times New Roman"/>
          <w:i/>
          <w:color w:val="050505"/>
          <w:sz w:val="28"/>
          <w:szCs w:val="28"/>
          <w:lang w:eastAsia="hu-HU"/>
        </w:rPr>
        <w:t>halált</w:t>
      </w:r>
      <w:r w:rsidR="00B809E6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 xml:space="preserve">; tehát a mártírium feledhetetlen állóképeit vetíti elénk. Az események, első </w:t>
      </w:r>
      <w:proofErr w:type="spellStart"/>
      <w:r w:rsidR="00B809E6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>pillan</w:t>
      </w:r>
      <w:proofErr w:type="spellEnd"/>
      <w:r w:rsidR="00781F8F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>-</w:t>
      </w:r>
      <w:r w:rsidR="00B809E6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 xml:space="preserve">tásra is, a zsidó áldozatok sorsához kapcsolódnak, a vers a </w:t>
      </w:r>
      <w:r w:rsidR="00B809E6" w:rsidRPr="0045664B">
        <w:rPr>
          <w:rFonts w:ascii="Book Antiqua" w:eastAsia="Times New Roman" w:hAnsi="Book Antiqua" w:cs="Times New Roman"/>
          <w:i/>
          <w:color w:val="050505"/>
          <w:sz w:val="28"/>
          <w:szCs w:val="28"/>
          <w:lang w:eastAsia="hu-HU"/>
        </w:rPr>
        <w:t>megölhették</w:t>
      </w:r>
      <w:r w:rsidR="00B809E6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 xml:space="preserve"> szóval kendőzetlenül jelöli: itt gyilkosság történt. A keresztény lelki</w:t>
      </w:r>
      <w:r w:rsidR="00781F8F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>-</w:t>
      </w:r>
      <w:r w:rsidR="00B809E6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>ismeret burkoltan vezeklő műk</w:t>
      </w:r>
      <w:r w:rsidR="00C22A07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>ödését ez az ig</w:t>
      </w:r>
      <w:r w:rsidR="00B809E6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>e ugyan némileg leplezi, ugyanakkor egyértelműen jelöli a felekezeti vétek-aránytalanság miben</w:t>
      </w:r>
      <w:r w:rsidR="00781F8F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>-</w:t>
      </w:r>
      <w:r w:rsidR="00B809E6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>létét, a zsidó szenvedés és keresztény elkövetés kettősét. Sejtelmem és tapasztalatom szerint ilyen mérvű keresztény vezeklés lírai korpuszban elenyésző mértékben történt meg – különösen nem a hazai – líra</w:t>
      </w:r>
      <w:r w:rsidR="00781F8F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>-</w:t>
      </w:r>
      <w:r w:rsidR="00B809E6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 xml:space="preserve">történetben. A költemény (és az egész kötet) már csak ezért is mérföldkő nemcsak irodalmunk vonulatában, hanem erkölcsi esendőségünk számbavételének és kimondásának </w:t>
      </w:r>
      <w:r w:rsidR="002444C8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>évkönyveiben.</w:t>
      </w:r>
    </w:p>
    <w:p w:rsidR="00F32AA4" w:rsidRDefault="00717F7F" w:rsidP="00781F8F">
      <w:pPr>
        <w:shd w:val="clear" w:color="auto" w:fill="FFFFFF"/>
        <w:spacing w:after="0"/>
        <w:ind w:firstLine="709"/>
        <w:jc w:val="both"/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>2.</w:t>
      </w:r>
      <w:r w:rsidR="002444C8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 xml:space="preserve"> A nyolc sor erős hittel és jóhírt hozó tisztasággal hirdeti a gyilkosság megtörténte utáni feltámadás ideáját, amely az első hét sorban még nem nyer transzcendens jelentést. Ha a két verset – a </w:t>
      </w:r>
      <w:r w:rsidR="002444C8" w:rsidRPr="0045664B">
        <w:rPr>
          <w:rFonts w:ascii="Book Antiqua" w:eastAsia="Times New Roman" w:hAnsi="Book Antiqua" w:cs="Times New Roman"/>
          <w:i/>
          <w:color w:val="050505"/>
          <w:sz w:val="28"/>
          <w:szCs w:val="28"/>
          <w:lang w:eastAsia="hu-HU"/>
        </w:rPr>
        <w:t>Harmadnapon</w:t>
      </w:r>
      <w:r w:rsidR="002444C8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 xml:space="preserve"> első hét sorának végéig – együtt olvassuk, csak azt a tudást szerezzük meg: megölhették a tábor „fegyenceit” „hitvány zsoldosok”, azok nem haltak meg örökre, hanem élnek ma is, vannak, talán nem csak a mi </w:t>
      </w:r>
      <w:proofErr w:type="spellStart"/>
      <w:r w:rsidR="002444C8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>emlé</w:t>
      </w:r>
      <w:r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>-</w:t>
      </w:r>
      <w:r w:rsidR="002444C8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>kezetünkben</w:t>
      </w:r>
      <w:proofErr w:type="spellEnd"/>
      <w:r w:rsidR="002444C8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 xml:space="preserve">, hanem egy másik világon is. Erre az emberi hitre (vagy bizakodásra) épül a nyolcadik, </w:t>
      </w:r>
      <w:r w:rsidR="002444C8" w:rsidRPr="0045664B">
        <w:rPr>
          <w:rFonts w:ascii="Book Antiqua" w:eastAsia="Times New Roman" w:hAnsi="Book Antiqua" w:cs="Times New Roman"/>
          <w:i/>
          <w:color w:val="050505"/>
          <w:sz w:val="28"/>
          <w:szCs w:val="28"/>
          <w:lang w:eastAsia="hu-HU"/>
        </w:rPr>
        <w:t>latin</w:t>
      </w:r>
      <w:r w:rsidR="002444C8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 xml:space="preserve"> nyelvű sor, amely hirtelen </w:t>
      </w:r>
      <w:proofErr w:type="spellStart"/>
      <w:r w:rsidR="002444C8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>evangé</w:t>
      </w:r>
      <w:r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>-</w:t>
      </w:r>
      <w:r w:rsidR="002444C8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>liumi</w:t>
      </w:r>
      <w:proofErr w:type="spellEnd"/>
      <w:r w:rsidR="002444C8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 xml:space="preserve"> szférába emeli az eseményeket. Önmagában az a tény, hogy egy katolikus költő („</w:t>
      </w:r>
      <w:r w:rsidR="002444C8" w:rsidRPr="0045664B">
        <w:rPr>
          <w:rFonts w:ascii="Book Antiqua" w:eastAsia="Times New Roman" w:hAnsi="Book Antiqua" w:cs="Times New Roman"/>
          <w:i/>
          <w:color w:val="050505"/>
          <w:sz w:val="28"/>
          <w:szCs w:val="28"/>
          <w:lang w:eastAsia="hu-HU"/>
        </w:rPr>
        <w:t>Költő vagyok és katolikus</w:t>
      </w:r>
      <w:r w:rsidR="002444C8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>”) a meggyilkolt táborlakók fel</w:t>
      </w:r>
      <w:r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>-</w:t>
      </w:r>
      <w:r w:rsidR="002444C8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 xml:space="preserve">támadását hirdeti (tehát egy keresztény teológiai fogalmat kér kölcsön megrendült szavaihoz), óriási határátlépés, lelki és szellemi felmagasodás (a gesztust Rilke egyik </w:t>
      </w:r>
      <w:proofErr w:type="spellStart"/>
      <w:r w:rsidR="002444C8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>alapszava</w:t>
      </w:r>
      <w:proofErr w:type="spellEnd"/>
      <w:r w:rsidR="002444C8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 xml:space="preserve"> jelöli szabatosan: </w:t>
      </w:r>
      <w:proofErr w:type="spellStart"/>
      <w:r w:rsidR="002444C8" w:rsidRPr="0045664B">
        <w:rPr>
          <w:rFonts w:ascii="Book Antiqua" w:eastAsia="Times New Roman" w:hAnsi="Book Antiqua" w:cs="Times New Roman"/>
          <w:i/>
          <w:color w:val="050505"/>
          <w:sz w:val="28"/>
          <w:szCs w:val="28"/>
          <w:lang w:eastAsia="hu-HU"/>
        </w:rPr>
        <w:t>Überwindung</w:t>
      </w:r>
      <w:proofErr w:type="spellEnd"/>
      <w:r w:rsidR="002444C8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 xml:space="preserve">, lebírás, túllépés, meghaladás, átnövekedés; lefordíthatatlan a német kifejezés). Hozzáteszem: itt nem önfelmentésről van szó, </w:t>
      </w:r>
      <w:r w:rsidR="00FB0563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>nem is könnyen foganó „részvét”-</w:t>
      </w:r>
      <w:proofErr w:type="spellStart"/>
      <w:r w:rsidR="00FB0563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>ről</w:t>
      </w:r>
      <w:proofErr w:type="spellEnd"/>
      <w:r w:rsidR="00FB0563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>, hanem „részkérés”-</w:t>
      </w:r>
      <w:proofErr w:type="spellStart"/>
      <w:r w:rsidR="00FB0563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>ről</w:t>
      </w:r>
      <w:proofErr w:type="spellEnd"/>
      <w:r w:rsidR="00FB0563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 xml:space="preserve">, az áldozati </w:t>
      </w:r>
      <w:proofErr w:type="spellStart"/>
      <w:r w:rsidR="00FB0563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>társiasság</w:t>
      </w:r>
      <w:proofErr w:type="spellEnd"/>
      <w:r w:rsidR="00FB0563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 xml:space="preserve"> csodájáról, a </w:t>
      </w:r>
      <w:r w:rsidR="00FB0563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lastRenderedPageBreak/>
        <w:t>költő hitének mintegy „kiterjesztésé”-</w:t>
      </w:r>
      <w:proofErr w:type="spellStart"/>
      <w:r w:rsidR="00FB0563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>ről</w:t>
      </w:r>
      <w:proofErr w:type="spellEnd"/>
      <w:r w:rsidR="00FB0563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 xml:space="preserve">. Mert miről is szól ez a vers? Arról, hogy </w:t>
      </w:r>
      <w:r w:rsidR="00FB0563" w:rsidRPr="0045664B">
        <w:rPr>
          <w:rFonts w:ascii="Book Antiqua" w:eastAsia="Times New Roman" w:hAnsi="Book Antiqua" w:cs="Times New Roman"/>
          <w:i/>
          <w:color w:val="050505"/>
          <w:sz w:val="28"/>
          <w:szCs w:val="28"/>
          <w:lang w:eastAsia="hu-HU"/>
        </w:rPr>
        <w:t>minden</w:t>
      </w:r>
      <w:r w:rsidR="00FB0563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 xml:space="preserve"> </w:t>
      </w:r>
      <w:r w:rsidR="00FB0563" w:rsidRPr="0045664B">
        <w:rPr>
          <w:rFonts w:ascii="Book Antiqua" w:eastAsia="Times New Roman" w:hAnsi="Book Antiqua" w:cs="Times New Roman"/>
          <w:i/>
          <w:color w:val="050505"/>
          <w:sz w:val="28"/>
          <w:szCs w:val="28"/>
          <w:lang w:eastAsia="hu-HU"/>
        </w:rPr>
        <w:t>táborlakó áldozat Jézus volt</w:t>
      </w:r>
      <w:r w:rsidR="00FB0563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>, mert hitéért meggyilkolták, – de feltámadt, és immár örökké él. És itt erősödik fel a harmadik jegy:</w:t>
      </w:r>
      <w:r w:rsidR="00FB0563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br/>
        <w:t xml:space="preserve"> </w:t>
      </w:r>
      <w:r w:rsidR="00FB0563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ab/>
      </w:r>
      <w:r w:rsidR="00FB0563" w:rsidRPr="00F32AA4">
        <w:rPr>
          <w:rFonts w:ascii="Book Antiqua" w:eastAsia="Times New Roman" w:hAnsi="Book Antiqua" w:cs="Times New Roman"/>
          <w:color w:val="050505"/>
          <w:spacing w:val="-6"/>
          <w:sz w:val="28"/>
          <w:szCs w:val="28"/>
          <w:lang w:eastAsia="hu-HU"/>
        </w:rPr>
        <w:t>3. Hiszen maga Jézus is zsidó volt, és vallásunk egyetemessége (sugallja</w:t>
      </w:r>
      <w:r w:rsidR="00FB0563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 xml:space="preserve"> Pilinszky) még erre is képes: a megölt zsidók alakjában megpillantani azt a Jézust, akit más zsidók keresztre feszítettek. A vers teológiai </w:t>
      </w:r>
      <w:proofErr w:type="spellStart"/>
      <w:r w:rsidR="00FB0563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>komplexi</w:t>
      </w:r>
      <w:r w:rsidR="00F32AA4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>-</w:t>
      </w:r>
      <w:r w:rsidR="00FB0563" w:rsidRPr="00F32AA4">
        <w:rPr>
          <w:rFonts w:ascii="Book Antiqua" w:eastAsia="Times New Roman" w:hAnsi="Book Antiqua" w:cs="Times New Roman"/>
          <w:color w:val="050505"/>
          <w:spacing w:val="-6"/>
          <w:sz w:val="28"/>
          <w:szCs w:val="28"/>
          <w:lang w:eastAsia="hu-HU"/>
        </w:rPr>
        <w:t>tását</w:t>
      </w:r>
      <w:proofErr w:type="spellEnd"/>
      <w:r w:rsidR="00FB0563" w:rsidRPr="00F32AA4">
        <w:rPr>
          <w:rFonts w:ascii="Book Antiqua" w:eastAsia="Times New Roman" w:hAnsi="Book Antiqua" w:cs="Times New Roman"/>
          <w:color w:val="050505"/>
          <w:spacing w:val="-6"/>
          <w:sz w:val="28"/>
          <w:szCs w:val="28"/>
          <w:lang w:eastAsia="hu-HU"/>
        </w:rPr>
        <w:t xml:space="preserve"> csak jelezni tudom itt: a katolikus költő szinte vallásának „kiegészítő”</w:t>
      </w:r>
      <w:r w:rsidR="00FB0563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 xml:space="preserve">, </w:t>
      </w:r>
      <w:r w:rsidR="00FB0563" w:rsidRPr="00F32AA4">
        <w:rPr>
          <w:rFonts w:ascii="Book Antiqua" w:eastAsia="Times New Roman" w:hAnsi="Book Antiqua" w:cs="Times New Roman"/>
          <w:color w:val="050505"/>
          <w:spacing w:val="-4"/>
          <w:sz w:val="28"/>
          <w:szCs w:val="28"/>
          <w:lang w:eastAsia="hu-HU"/>
        </w:rPr>
        <w:t>„járulékos”, de annál szentebb figuráit teremti meg egy lírai vezeklési rítus</w:t>
      </w:r>
      <w:r w:rsidR="00FB0563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 xml:space="preserve"> gesztusában. A költő kimondatlanul és a lírai igazságosság legmélyebb zónáiban hitének legtitokzatosabb tételeinek értelmében mindenkit test</w:t>
      </w:r>
      <w:r w:rsidR="00F32AA4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>-</w:t>
      </w:r>
      <w:r w:rsidR="00FB0563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>vérré avat, és egy hatalmas ökumenikus karolás mozdulatával mintegy lírai „betérési szertartást” mutat be (anélkül, hogy saját hitét feladná).</w:t>
      </w:r>
    </w:p>
    <w:p w:rsidR="00D45D04" w:rsidRPr="0045664B" w:rsidRDefault="00D45D04" w:rsidP="00F32AA4">
      <w:pPr>
        <w:shd w:val="clear" w:color="auto" w:fill="FFFFFF"/>
        <w:spacing w:after="120"/>
        <w:ind w:firstLine="709"/>
        <w:jc w:val="both"/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</w:pPr>
      <w:r w:rsidRPr="00F32AA4">
        <w:rPr>
          <w:rFonts w:ascii="Book Antiqua" w:eastAsia="Times New Roman" w:hAnsi="Book Antiqua" w:cs="Times New Roman"/>
          <w:color w:val="050505"/>
          <w:spacing w:val="-4"/>
          <w:sz w:val="28"/>
          <w:szCs w:val="28"/>
          <w:lang w:eastAsia="hu-HU"/>
        </w:rPr>
        <w:t xml:space="preserve">A kortársi líratörténetben – s ezzel zárom – megtermett a </w:t>
      </w:r>
      <w:r w:rsidRPr="00F32AA4">
        <w:rPr>
          <w:rFonts w:ascii="Book Antiqua" w:eastAsia="Times New Roman" w:hAnsi="Book Antiqua" w:cs="Times New Roman"/>
          <w:i/>
          <w:color w:val="050505"/>
          <w:spacing w:val="-4"/>
          <w:sz w:val="28"/>
          <w:szCs w:val="28"/>
          <w:lang w:eastAsia="hu-HU"/>
        </w:rPr>
        <w:t>Harmadnapon</w:t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 xml:space="preserve"> párja is, amely kimondja: a közelmúlt délszláv háborúiban meggyilkolt minden egyes áldozat maga is Jézus volt. Balla Zsófia költeményéről beszélek (</w:t>
      </w:r>
      <w:r w:rsidRPr="0045664B">
        <w:rPr>
          <w:rFonts w:ascii="Book Antiqua" w:eastAsia="Times New Roman" w:hAnsi="Book Antiqua" w:cs="Times New Roman"/>
          <w:i/>
          <w:color w:val="050505"/>
          <w:sz w:val="28"/>
          <w:szCs w:val="28"/>
          <w:lang w:eastAsia="hu-HU"/>
        </w:rPr>
        <w:t>A képernyő imádása</w:t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>):</w:t>
      </w:r>
    </w:p>
    <w:p w:rsidR="00934690" w:rsidRDefault="00D45D04" w:rsidP="0045664B">
      <w:pPr>
        <w:shd w:val="clear" w:color="auto" w:fill="FFFFFF"/>
        <w:spacing w:after="0"/>
        <w:ind w:firstLine="709"/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</w:pP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ab/>
        <w:t>Ott, abban a háborúban</w:t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br/>
        <w:t xml:space="preserve"> </w:t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ab/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ab/>
        <w:t xml:space="preserve">megöltek – </w:t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br/>
        <w:t xml:space="preserve"> </w:t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ab/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ab/>
        <w:t>kétszázhetvennégyezer ötszázhatvannyolc</w:t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br/>
        <w:t xml:space="preserve">  </w:t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ab/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ab/>
        <w:t>krisztust öltek meg.</w:t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br/>
        <w:t xml:space="preserve"> </w:t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ab/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ab/>
        <w:t>Vonjunk le ebből</w:t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br/>
        <w:t xml:space="preserve"> </w:t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ab/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ab/>
        <w:t xml:space="preserve">harmincezer hatszázkilencvenegyet – </w:t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br/>
        <w:t xml:space="preserve"> </w:t>
      </w:r>
      <w:r w:rsidR="00FB0563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 xml:space="preserve"> </w:t>
      </w:r>
      <w:r w:rsidR="002444C8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 xml:space="preserve">  </w:t>
      </w:r>
      <w:r w:rsidR="00B809E6"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 xml:space="preserve"> </w:t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 xml:space="preserve"> </w:t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ab/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ab/>
        <w:t>azokat, akik maguk is öltek.</w:t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br/>
        <w:t xml:space="preserve"> </w:t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ab/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ab/>
        <w:t>Marad</w:t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br/>
        <w:t xml:space="preserve"> </w:t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ab/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ab/>
        <w:t>kétszáznegyvenháromezer nyolcszázhetvenhét,</w:t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br/>
        <w:t xml:space="preserve"> </w:t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ab/>
        <w:t xml:space="preserve"> </w:t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ab/>
        <w:t>azaz 243877.</w:t>
      </w:r>
    </w:p>
    <w:p w:rsidR="00F32AA4" w:rsidRPr="0045664B" w:rsidRDefault="00F32AA4" w:rsidP="0045664B">
      <w:pPr>
        <w:shd w:val="clear" w:color="auto" w:fill="FFFFFF"/>
        <w:spacing w:after="0"/>
        <w:ind w:firstLine="709"/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</w:pPr>
    </w:p>
    <w:p w:rsidR="00D45D04" w:rsidRDefault="00D45D04" w:rsidP="0045664B">
      <w:pPr>
        <w:shd w:val="clear" w:color="auto" w:fill="FFFFFF"/>
        <w:spacing w:after="0"/>
        <w:ind w:firstLine="709"/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</w:pP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ab/>
        <w:t>Nézzetek szét.</w:t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br/>
        <w:t xml:space="preserve"> </w:t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ab/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ab/>
        <w:t>Tudjátok meg, mikor születtek.</w:t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br/>
        <w:t xml:space="preserve"> </w:t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ab/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ab/>
        <w:t>Az mind Karácsony.</w:t>
      </w:r>
    </w:p>
    <w:p w:rsidR="00F32AA4" w:rsidRPr="0045664B" w:rsidRDefault="00F32AA4" w:rsidP="0045664B">
      <w:pPr>
        <w:shd w:val="clear" w:color="auto" w:fill="FFFFFF"/>
        <w:spacing w:after="0"/>
        <w:ind w:firstLine="709"/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</w:pPr>
    </w:p>
    <w:p w:rsidR="00D45D04" w:rsidRPr="0045664B" w:rsidRDefault="00D45D04" w:rsidP="0045664B">
      <w:pPr>
        <w:shd w:val="clear" w:color="auto" w:fill="FFFFFF"/>
        <w:spacing w:after="0"/>
        <w:ind w:firstLine="709"/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</w:pP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 xml:space="preserve"> </w:t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ab/>
        <w:t>Az Úr</w:t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br/>
        <w:t xml:space="preserve"> </w:t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ab/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ab/>
        <w:t xml:space="preserve">sokszülött fiát – </w:t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br/>
        <w:t xml:space="preserve"> </w:t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ab/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ab/>
        <w:t>istentelenül sok fiát</w:t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br/>
        <w:t xml:space="preserve"> </w:t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ab/>
      </w:r>
      <w:r w:rsidRPr="0045664B"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  <w:tab/>
        <w:t>adja értünk.</w:t>
      </w:r>
    </w:p>
    <w:p w:rsidR="00712263" w:rsidRPr="0045664B" w:rsidRDefault="00712263" w:rsidP="0045664B">
      <w:pPr>
        <w:shd w:val="clear" w:color="auto" w:fill="FFFFFF"/>
        <w:spacing w:after="0"/>
        <w:ind w:firstLine="709"/>
        <w:rPr>
          <w:rFonts w:ascii="Book Antiqua" w:eastAsia="Times New Roman" w:hAnsi="Book Antiqua" w:cs="Times New Roman"/>
          <w:color w:val="050505"/>
          <w:sz w:val="28"/>
          <w:szCs w:val="28"/>
          <w:lang w:eastAsia="hu-HU"/>
        </w:rPr>
      </w:pPr>
    </w:p>
    <w:p w:rsidR="00F836FE" w:rsidRPr="0045664B" w:rsidRDefault="00934690" w:rsidP="0045664B">
      <w:pPr>
        <w:spacing w:after="0"/>
        <w:ind w:firstLine="709"/>
        <w:rPr>
          <w:rFonts w:ascii="Book Antiqua" w:hAnsi="Book Antiqua" w:cs="Times New Roman"/>
          <w:sz w:val="28"/>
          <w:szCs w:val="28"/>
        </w:rPr>
      </w:pPr>
      <w:r w:rsidRPr="0045664B">
        <w:rPr>
          <w:rFonts w:ascii="Book Antiqua" w:hAnsi="Book Antiqua" w:cs="Times New Roman"/>
          <w:sz w:val="28"/>
          <w:szCs w:val="28"/>
        </w:rPr>
        <w:t xml:space="preserve"> </w:t>
      </w:r>
      <w:r w:rsidR="00AF580E" w:rsidRPr="0045664B">
        <w:rPr>
          <w:rFonts w:ascii="Book Antiqua" w:hAnsi="Book Antiqua" w:cs="Times New Roman"/>
          <w:sz w:val="28"/>
          <w:szCs w:val="28"/>
        </w:rPr>
        <w:t xml:space="preserve">   </w:t>
      </w:r>
      <w:r w:rsidR="007C69C7" w:rsidRPr="0045664B">
        <w:rPr>
          <w:rFonts w:ascii="Book Antiqua" w:hAnsi="Book Antiqua" w:cs="Times New Roman"/>
          <w:sz w:val="28"/>
          <w:szCs w:val="28"/>
        </w:rPr>
        <w:t xml:space="preserve">  </w:t>
      </w:r>
      <w:r w:rsidR="00D67495" w:rsidRPr="0045664B">
        <w:rPr>
          <w:rFonts w:ascii="Book Antiqua" w:hAnsi="Book Antiqua" w:cs="Times New Roman"/>
          <w:sz w:val="28"/>
          <w:szCs w:val="28"/>
        </w:rPr>
        <w:t xml:space="preserve"> </w:t>
      </w:r>
      <w:r w:rsidR="00A34920" w:rsidRPr="0045664B">
        <w:rPr>
          <w:rFonts w:ascii="Book Antiqua" w:hAnsi="Book Antiqua" w:cs="Times New Roman"/>
          <w:sz w:val="28"/>
          <w:szCs w:val="28"/>
        </w:rPr>
        <w:t xml:space="preserve"> </w:t>
      </w:r>
      <w:r w:rsidR="003C3FCC" w:rsidRPr="0045664B">
        <w:rPr>
          <w:rFonts w:ascii="Book Antiqua" w:hAnsi="Book Antiqua" w:cs="Times New Roman"/>
          <w:sz w:val="28"/>
          <w:szCs w:val="28"/>
        </w:rPr>
        <w:t xml:space="preserve">   </w:t>
      </w:r>
      <w:r w:rsidR="00822B3C" w:rsidRPr="0045664B">
        <w:rPr>
          <w:rFonts w:ascii="Book Antiqua" w:hAnsi="Book Antiqua" w:cs="Times New Roman"/>
          <w:sz w:val="28"/>
          <w:szCs w:val="28"/>
        </w:rPr>
        <w:t xml:space="preserve">  </w:t>
      </w:r>
    </w:p>
    <w:p w:rsidR="00F836FE" w:rsidRPr="0045664B" w:rsidRDefault="00F836FE" w:rsidP="0045664B">
      <w:pPr>
        <w:spacing w:after="0"/>
        <w:ind w:firstLine="709"/>
        <w:rPr>
          <w:rFonts w:ascii="Book Antiqua" w:hAnsi="Book Antiqua" w:cs="Times New Roman"/>
          <w:sz w:val="28"/>
          <w:szCs w:val="28"/>
        </w:rPr>
      </w:pPr>
    </w:p>
    <w:sectPr w:rsidR="00F836FE" w:rsidRPr="0045664B" w:rsidSect="00146C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264" w:rsidRDefault="00A94264" w:rsidP="0020396C">
      <w:pPr>
        <w:spacing w:after="0"/>
      </w:pPr>
      <w:r>
        <w:separator/>
      </w:r>
    </w:p>
  </w:endnote>
  <w:endnote w:type="continuationSeparator" w:id="0">
    <w:p w:rsidR="00A94264" w:rsidRDefault="00A94264" w:rsidP="002039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63" w:rsidRDefault="00FB056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63" w:rsidRDefault="00FB056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63" w:rsidRDefault="00FB056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264" w:rsidRDefault="00A94264" w:rsidP="0020396C">
      <w:pPr>
        <w:spacing w:after="0"/>
      </w:pPr>
      <w:r>
        <w:separator/>
      </w:r>
    </w:p>
  </w:footnote>
  <w:footnote w:type="continuationSeparator" w:id="0">
    <w:p w:rsidR="00A94264" w:rsidRDefault="00A94264" w:rsidP="002039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63" w:rsidRDefault="00FB056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63" w:rsidRDefault="00FB056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63" w:rsidRDefault="00FB056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FE"/>
    <w:rsid w:val="00097335"/>
    <w:rsid w:val="00146C90"/>
    <w:rsid w:val="0020396C"/>
    <w:rsid w:val="002328DC"/>
    <w:rsid w:val="002444C8"/>
    <w:rsid w:val="00334717"/>
    <w:rsid w:val="003C3FCC"/>
    <w:rsid w:val="004321CB"/>
    <w:rsid w:val="0045664B"/>
    <w:rsid w:val="005D4226"/>
    <w:rsid w:val="006B15BD"/>
    <w:rsid w:val="006D48D1"/>
    <w:rsid w:val="00712263"/>
    <w:rsid w:val="00717F7F"/>
    <w:rsid w:val="00770EC7"/>
    <w:rsid w:val="00773C97"/>
    <w:rsid w:val="00781F8F"/>
    <w:rsid w:val="007C69C7"/>
    <w:rsid w:val="007D64F7"/>
    <w:rsid w:val="00822B3C"/>
    <w:rsid w:val="00863F51"/>
    <w:rsid w:val="00934690"/>
    <w:rsid w:val="009C699D"/>
    <w:rsid w:val="00A34920"/>
    <w:rsid w:val="00A856B1"/>
    <w:rsid w:val="00A94264"/>
    <w:rsid w:val="00AF580E"/>
    <w:rsid w:val="00B809E6"/>
    <w:rsid w:val="00C22A07"/>
    <w:rsid w:val="00D45D04"/>
    <w:rsid w:val="00D67495"/>
    <w:rsid w:val="00DC0E43"/>
    <w:rsid w:val="00EE0FD0"/>
    <w:rsid w:val="00F32AA4"/>
    <w:rsid w:val="00F836FE"/>
    <w:rsid w:val="00FB0563"/>
    <w:rsid w:val="00FB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395B"/>
  <w15:docId w15:val="{0CCB2137-49CD-417A-9B44-7B479847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6C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396C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20396C"/>
  </w:style>
  <w:style w:type="paragraph" w:styleId="llb">
    <w:name w:val="footer"/>
    <w:basedOn w:val="Norml"/>
    <w:link w:val="llbChar"/>
    <w:uiPriority w:val="99"/>
    <w:semiHidden/>
    <w:unhideWhenUsed/>
    <w:rsid w:val="0020396C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03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5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4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Otthon</cp:lastModifiedBy>
  <cp:revision>2</cp:revision>
  <dcterms:created xsi:type="dcterms:W3CDTF">2022-01-03T18:04:00Z</dcterms:created>
  <dcterms:modified xsi:type="dcterms:W3CDTF">2022-01-03T18:04:00Z</dcterms:modified>
</cp:coreProperties>
</file>