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8" w:rsidRPr="009E2050" w:rsidRDefault="009E2050" w:rsidP="009E205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b/>
          <w:bCs/>
          <w:noProof/>
          <w:color w:val="222222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219200" cy="1925320"/>
            <wp:effectExtent l="0" t="0" r="0" b="0"/>
            <wp:wrapSquare wrapText="bothSides"/>
            <wp:docPr id="3" name="Kép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050" w:rsidRPr="009E2050" w:rsidRDefault="009E2050" w:rsidP="009E2050">
      <w:pPr>
        <w:shd w:val="clear" w:color="auto" w:fill="FFFFFF"/>
        <w:spacing w:after="0" w:line="360" w:lineRule="auto"/>
        <w:outlineLvl w:val="3"/>
        <w:rPr>
          <w:rFonts w:ascii="Book Antiqua" w:eastAsia="Times New Roman" w:hAnsi="Book Antiqua" w:cs="Times New Roman"/>
          <w:bCs/>
          <w:color w:val="222222"/>
          <w:spacing w:val="-15"/>
          <w:kern w:val="36"/>
          <w:sz w:val="36"/>
          <w:szCs w:val="36"/>
          <w:lang w:eastAsia="hu-HU"/>
        </w:rPr>
      </w:pPr>
      <w:r w:rsidRPr="009E2050">
        <w:rPr>
          <w:rFonts w:ascii="Book Antiqua" w:hAnsi="Book Antiqua"/>
          <w:sz w:val="28"/>
          <w:szCs w:val="28"/>
        </w:rPr>
        <w:t xml:space="preserve">      </w:t>
      </w:r>
      <w:hyperlink r:id="rId7" w:history="1">
        <w:r w:rsidR="003B68F8" w:rsidRPr="009E2050">
          <w:rPr>
            <w:rFonts w:ascii="Book Antiqua" w:eastAsia="Times New Roman" w:hAnsi="Book Antiqua" w:cs="Times New Roman"/>
            <w:bCs/>
            <w:sz w:val="36"/>
            <w:szCs w:val="36"/>
            <w:lang w:eastAsia="hu-HU"/>
          </w:rPr>
          <w:t xml:space="preserve">Somogyi András </w:t>
        </w:r>
      </w:hyperlink>
      <w:r w:rsidRPr="009E2050">
        <w:rPr>
          <w:rFonts w:ascii="Book Antiqua" w:eastAsia="Times New Roman" w:hAnsi="Book Antiqua" w:cs="Times New Roman"/>
          <w:bCs/>
          <w:color w:val="222222"/>
          <w:spacing w:val="-15"/>
          <w:kern w:val="36"/>
          <w:sz w:val="36"/>
          <w:szCs w:val="36"/>
          <w:lang w:eastAsia="hu-HU"/>
        </w:rPr>
        <w:t xml:space="preserve"> </w:t>
      </w:r>
      <w:bookmarkStart w:id="0" w:name="_GoBack"/>
      <w:bookmarkEnd w:id="0"/>
    </w:p>
    <w:p w:rsidR="009E2050" w:rsidRPr="009E2050" w:rsidRDefault="009E2050" w:rsidP="009E2050">
      <w:pPr>
        <w:shd w:val="clear" w:color="auto" w:fill="FFFFFF"/>
        <w:spacing w:after="120" w:line="240" w:lineRule="auto"/>
        <w:outlineLvl w:val="3"/>
        <w:rPr>
          <w:rFonts w:ascii="Book Antiqua" w:eastAsia="Times New Roman" w:hAnsi="Book Antiqua" w:cs="Times New Roman"/>
          <w:bCs/>
          <w:i/>
          <w:color w:val="222222"/>
          <w:spacing w:val="-15"/>
          <w:kern w:val="36"/>
          <w:sz w:val="40"/>
          <w:szCs w:val="40"/>
          <w:lang w:eastAsia="hu-HU"/>
        </w:rPr>
      </w:pPr>
      <w:r>
        <w:rPr>
          <w:rFonts w:ascii="Book Antiqua" w:eastAsia="Times New Roman" w:hAnsi="Book Antiqua" w:cs="Times New Roman"/>
          <w:bCs/>
          <w:i/>
          <w:color w:val="222222"/>
          <w:spacing w:val="-15"/>
          <w:kern w:val="36"/>
          <w:sz w:val="40"/>
          <w:szCs w:val="40"/>
          <w:lang w:eastAsia="hu-HU"/>
        </w:rPr>
        <w:t xml:space="preserve">    </w:t>
      </w:r>
      <w:r w:rsidRPr="009E2050">
        <w:rPr>
          <w:rFonts w:ascii="Book Antiqua" w:eastAsia="Times New Roman" w:hAnsi="Book Antiqua" w:cs="Times New Roman"/>
          <w:bCs/>
          <w:i/>
          <w:color w:val="222222"/>
          <w:spacing w:val="-15"/>
          <w:kern w:val="36"/>
          <w:sz w:val="40"/>
          <w:szCs w:val="40"/>
          <w:lang w:eastAsia="hu-HU"/>
        </w:rPr>
        <w:t>Párhuzamos életek</w:t>
      </w:r>
      <w:r w:rsidRPr="009E2050">
        <w:rPr>
          <w:rFonts w:ascii="Book Antiqua" w:eastAsia="Times New Roman" w:hAnsi="Book Antiqua" w:cs="Times New Roman"/>
          <w:bCs/>
          <w:i/>
          <w:color w:val="222222"/>
          <w:spacing w:val="-15"/>
          <w:kern w:val="36"/>
          <w:sz w:val="40"/>
          <w:szCs w:val="40"/>
          <w:lang w:eastAsia="hu-HU"/>
        </w:rPr>
        <w:t xml:space="preserve"> </w:t>
      </w:r>
    </w:p>
    <w:p w:rsidR="003B68F8" w:rsidRPr="009E2050" w:rsidRDefault="009E2050" w:rsidP="009E2050">
      <w:pPr>
        <w:shd w:val="clear" w:color="auto" w:fill="FFFFFF"/>
        <w:spacing w:after="0" w:line="240" w:lineRule="auto"/>
        <w:outlineLvl w:val="3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bCs/>
          <w:color w:val="222222"/>
          <w:spacing w:val="-15"/>
          <w:kern w:val="36"/>
          <w:sz w:val="28"/>
          <w:szCs w:val="28"/>
          <w:lang w:eastAsia="hu-HU"/>
        </w:rPr>
        <w:t xml:space="preserve">      </w:t>
      </w:r>
      <w:r w:rsidRPr="009E2050">
        <w:rPr>
          <w:rFonts w:ascii="Book Antiqua" w:eastAsia="Times New Roman" w:hAnsi="Book Antiqua" w:cs="Times New Roman"/>
          <w:b/>
          <w:bCs/>
          <w:color w:val="222222"/>
          <w:spacing w:val="-15"/>
          <w:kern w:val="36"/>
          <w:sz w:val="28"/>
          <w:szCs w:val="28"/>
          <w:lang w:eastAsia="hu-HU"/>
        </w:rPr>
        <w:t>Jolsvai András: Márton Irma tévedése</w:t>
      </w:r>
    </w:p>
    <w:p w:rsidR="009E2050" w:rsidRDefault="009E2050" w:rsidP="003B68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</w:pPr>
    </w:p>
    <w:p w:rsidR="009E2050" w:rsidRDefault="009E2050" w:rsidP="003B68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</w:pPr>
    </w:p>
    <w:p w:rsidR="009E2050" w:rsidRDefault="009E2050" w:rsidP="003B68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</w:pPr>
    </w:p>
    <w:p w:rsidR="009E2050" w:rsidRDefault="009E2050" w:rsidP="003B68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</w:pP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 xml:space="preserve">Rögtön az elején leszögezem: remek könyvet olvastam. Nem </w:t>
      </w:r>
      <w:proofErr w:type="spellStart"/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>szok</w:t>
      </w:r>
      <w:proofErr w:type="spellEnd"/>
      <w:r w:rsid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>tam halmozni a dicsérő jelzőket ajánlóimban, de ez alkalommal kivételt teszek. </w:t>
      </w:r>
      <w:r w:rsidRPr="009E2050">
        <w:rPr>
          <w:rFonts w:ascii="Book Antiqua" w:eastAsia="Times New Roman" w:hAnsi="Book Antiqua" w:cs="Times New Roman"/>
          <w:bCs/>
          <w:i/>
          <w:iCs/>
          <w:color w:val="333333"/>
          <w:sz w:val="28"/>
          <w:szCs w:val="28"/>
          <w:lang w:eastAsia="hu-HU"/>
        </w:rPr>
        <w:t>Jolsvai András</w:t>
      </w:r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 xml:space="preserve"> pontos és érzékletes tükröt tart a huszadik század első harmadának kispolgári, „többnek látszani akarás” szülte, ostoba </w:t>
      </w:r>
      <w:proofErr w:type="gramStart"/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>konvenciói</w:t>
      </w:r>
      <w:proofErr w:type="gramEnd"/>
      <w:r w:rsidRPr="009E2050">
        <w:rPr>
          <w:rFonts w:ascii="Book Antiqua" w:eastAsia="Times New Roman" w:hAnsi="Book Antiqua" w:cs="Times New Roman"/>
          <w:bCs/>
          <w:color w:val="333333"/>
          <w:sz w:val="28"/>
          <w:szCs w:val="28"/>
          <w:lang w:eastAsia="hu-HU"/>
        </w:rPr>
        <w:t>, a hazug prüdéria elé – és ezt elragadóan teszi.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Kitűnőek a jellemrajzok, a három különböző sorsú és egyéniségű nő párhuzamos, váltogatott fejezetekben megismert alakja olyan eleven, mintha közöttünk élnének. Külön érdekessége a könyvnek, hogy a törté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netben – olykor szereplőként is – felbukkannak a kor hírességei: </w:t>
      </w:r>
      <w:r w:rsidRPr="009E205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 xml:space="preserve">Márai Sándor, Szabó Dezső, Herczeg Ferenc, Incze Sándor, Zágon István, </w:t>
      </w:r>
      <w:proofErr w:type="spellStart"/>
      <w:r w:rsidRPr="009E205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>Kellér</w:t>
      </w:r>
      <w:proofErr w:type="spellEnd"/>
      <w:r w:rsidRPr="009E205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 xml:space="preserve"> Andor, Weiner Leó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 és mások.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 néhány sorban nem lehetséges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végigkövetni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 három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párhuzamo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san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futó, de egymással össze nem fonódó történetet, de azért egyenként szemezgethetek a nők jellemrajzaiból, életük fontosabb fordulataiból.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kötet címadója, Márton Irma történetünk elején harminckét éves, kiváló szülésznő, főnővér a Női Klinikán. Magánélete gyakorlatilag nincs, se párja, se barátai. Életét kitölti a hivatása, kényszeresen pontos, napi- és heti rendje mintha kőbe lenne vésve. Kolozsváron született, apja vegyész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professzor volt, Irma már gyermekkorában segédkezett neki a kutatásai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ban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, és legszívesebben ezt a pályát választotta volna. Nem úgy sikerült. Meglehetősen jó alakú, ám reménytelenül csúnya arcú lány volt, soha nem </w:t>
      </w:r>
      <w:r w:rsidRPr="009E2050">
        <w:rPr>
          <w:rFonts w:ascii="Book Antiqua" w:eastAsia="Times New Roman" w:hAnsi="Book Antiqua" w:cs="Times New Roman"/>
          <w:color w:val="333333"/>
          <w:spacing w:val="-2"/>
          <w:sz w:val="28"/>
          <w:szCs w:val="28"/>
          <w:lang w:eastAsia="hu-HU"/>
        </w:rPr>
        <w:t>érett igazi nővé. Az 1918-as spanyolnáthán átesett, de elvesztette szeretteit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. Egy ízben olyan szülésnél segédkezett, melyben az anya meghalt, a koraszülött kisfiút,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Istvánkát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 nővérek gondoskodása tartotta életben. Lelencházba került, Irma örökbe fogadta volna, de hajadonként nem tehette meg. Egy este hazakísérte egy </w:t>
      </w:r>
      <w:r w:rsidRPr="009E205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>udvarias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 villamoskalauz, akit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sike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rült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rábeszélnie a házasságra, de a nászéjszaka elől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Navratil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Ignác már megszökött. Viszont Irma örökbe fogadhatta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Istvánkát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, és fel is nevelte.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 másik hősnő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Singer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Bözsi, húszéves, egy Váci utcai szalonban dolgozik varrónőként. Tehetséges, kedves, jószívű lány. Apja hivatásos 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lastRenderedPageBreak/>
        <w:t xml:space="preserve">katonatiszt, a hadbíróságon dolgozott. Ám a levegőben már érződött az aljas törvények előszele, és 45 évesen válaszút elé állították: vagy elhagyja zsidó hitét, vagy megválik a hadseregtől.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Singer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Endre az utóbbit válasz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totta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, ám ettől mogorva és tüskés ember lett, a családján kényúrként ural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kodott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 Bözsi életét a kispolgári erkölcs tilalomfái korlátozták, csak „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illen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dő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körülmények között” találkozhatott szintén zsidó szerelmével, a mű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szerész Tatár Tiborral. A két szegény szerelmes – követve a korszak, a hú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szas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évek prűd normáit – nem is álmodott házasságkötés előtti nászról. De Tibor hiába kéri meg Bözsi kezét, az apa elkergeti, mert ilyen vagyontalan vőről szó sem lehet. Némi (ám esetünkben elnézhető) csalással a Színházi Élet szegény lányokat kiházasító pályázata révén végül mégis létre jön a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Singer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(azaz kényszerűen Suhajda) Bözsi és a Tatár fiú házassága.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harmadik nő a huszonkét éves Madarász Henrietta. Apja még Vogel volt, de katolizált és magyarosított. Heni öntörvényű, sok minden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ben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tehetséges, de szertelen lány, próbálkozott festőiskolával, színi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tano</w:t>
      </w:r>
      <w:proofErr w:type="spellEnd"/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dával, tánccal – végül, kontraalt lévén, az éneknél kötött ki, csak éppen a sugárzása nincs a színpadon. Apja halála után anyjával együtt szegény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sorba kerültek, a Baross utca külvárosi végébe kellett költözniük. Heni utálta ezt a világot, fiúit sűrűn váltogatta, aztán hosszú, kellemes viszony kötötte össze a fiatal, kedves, jó humorú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Dégner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szerkesztő úrral. A sokat mókázó, parodizáló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Dégnerről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nehezen lehetett eldönteni, mikor és mi vehető komolyan tőle. (Viszont később, a nyilasok uralma alatt a tehetsé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gét embermentésre használta, SS-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egyenruhában járta Budapest </w:t>
      </w:r>
      <w:proofErr w:type="gram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utcáit</w:t>
      </w:r>
      <w:proofErr w:type="gram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és akit csak tudott, beszerzett a Női Klinikára, betegnek, segéd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ápolónak, munkásnak – Márton Irma segítségével.) Henivel jó pajtások voltak, még a kezét is megkérte (ha nem is igazán komolyan). Tartott ez addig, míg Heni mélyen bele nem szeretett 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Dégner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egyik fotós barátjába. Terhesség lett belőle, s az egyébként nős fotós, mihelyt tisztába jött a következményekkel, azonnal le is lépett. Ekkor Heni gyorsan elcsábított egy fiatal zongoristát, és elhitette, hogy az ő gyerekével várandós, mire az elvette feleségül.</w:t>
      </w:r>
    </w:p>
    <w:p w:rsid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fenti vázlatos életutak, mint sejthető, még jobban és fondor</w:t>
      </w:r>
      <w:r w:rsid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latosabban</w:t>
      </w:r>
      <w:proofErr w:type="spell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folytatódnak. A bevezetőben ígértem, hogy számos dicsérő jelzővel illetem a művet: tehát Jolsvai András története olvasmányos, fordulatos és nagyon szerethető. Még a drámai részleteket is kedves humorral képes feloldani – többnyire zárójeles, az olvasónak szánt, de a </w:t>
      </w:r>
      <w:proofErr w:type="gram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kontextusba</w:t>
      </w:r>
      <w:proofErr w:type="gram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ágyazott kommentekkel. A három nagyon különböző női </w:t>
      </w:r>
      <w:proofErr w:type="gramStart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karakter</w:t>
      </w:r>
      <w:proofErr w:type="gramEnd"/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további sorsát és a végső poént – megbocsájtják, ugye – meghagyom az olvasónak.</w:t>
      </w:r>
    </w:p>
    <w:p w:rsidR="003B68F8" w:rsidRPr="009E2050" w:rsidRDefault="003B68F8" w:rsidP="009E2050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lastRenderedPageBreak/>
        <w:t>És amint eddig látható volt, ez a kiemelkedően jó könyv egyebek között a szerelemről szól. Hadd idézzem végezetül Jolsvai egyik gondolatát, éppen a szerelemről. „</w:t>
      </w:r>
      <w:r w:rsidRPr="009E2050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>A szerelemnek nincs története. És hagyományos időkezelése sincsen. A szerelemnek halmazállapota van, kiterjedése, színe és illata. A szerelmet nem lehet elbeszélni, ahogy megérteni sem. Csak megélni lehet</w:t>
      </w:r>
      <w:r w:rsidRPr="009E2050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.”</w:t>
      </w:r>
    </w:p>
    <w:p w:rsidR="009E2050" w:rsidRPr="006906DC" w:rsidRDefault="006906DC" w:rsidP="009E2050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ab/>
      </w:r>
      <w:r w:rsidR="009E2050" w:rsidRPr="006906DC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Jolsvai András: Márton Irma tévedése</w:t>
      </w:r>
      <w:r w:rsidR="009E2050" w:rsidRPr="006906DC"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br/>
      </w:r>
      <w:r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ab/>
      </w:r>
      <w:proofErr w:type="spellStart"/>
      <w:r w:rsidR="009E2050" w:rsidRPr="006906DC"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>Kalligram</w:t>
      </w:r>
      <w:proofErr w:type="spellEnd"/>
      <w:r w:rsidR="009E2050" w:rsidRPr="006906DC"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t xml:space="preserve"> Kiadó, Budapest, 2021</w:t>
      </w:r>
      <w:r w:rsidR="009E2050" w:rsidRPr="006906DC">
        <w:rPr>
          <w:rFonts w:ascii="Book Antiqua" w:eastAsia="Times New Roman" w:hAnsi="Book Antiqua" w:cs="Times New Roman"/>
          <w:i/>
          <w:color w:val="333333"/>
          <w:sz w:val="28"/>
          <w:szCs w:val="28"/>
          <w:lang w:eastAsia="hu-HU"/>
        </w:rPr>
        <w:br/>
      </w:r>
    </w:p>
    <w:p w:rsidR="009E2050" w:rsidRPr="006906DC" w:rsidRDefault="006906DC" w:rsidP="009E2050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</w:t>
      </w:r>
      <w:r w:rsidRPr="006906DC">
        <w:rPr>
          <w:rFonts w:ascii="Book Antiqua" w:hAnsi="Book Antiqua"/>
          <w:i/>
          <w:sz w:val="28"/>
          <w:szCs w:val="28"/>
        </w:rPr>
        <w:t>Megjelent:</w:t>
      </w:r>
      <w:r>
        <w:rPr>
          <w:rFonts w:ascii="Book Antiqua" w:hAnsi="Book Antiqua"/>
          <w:sz w:val="28"/>
          <w:szCs w:val="28"/>
        </w:rPr>
        <w:t xml:space="preserve"> </w:t>
      </w:r>
      <w:hyperlink r:id="rId8" w:tooltip="olvassbele.com bejegyzése" w:history="1">
        <w:r w:rsidR="009E2050" w:rsidRPr="006906DC">
          <w:rPr>
            <w:rFonts w:ascii="Book Antiqua" w:eastAsia="Times New Roman" w:hAnsi="Book Antiqua" w:cs="Times New Roman"/>
            <w:b/>
            <w:bCs/>
            <w:i/>
            <w:iCs/>
            <w:sz w:val="28"/>
            <w:szCs w:val="28"/>
            <w:lang w:eastAsia="hu-HU"/>
          </w:rPr>
          <w:t>olvassbele.com</w:t>
        </w:r>
      </w:hyperlink>
      <w:r w:rsidRPr="006906DC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u w:val="single"/>
          <w:lang w:eastAsia="hu-HU"/>
        </w:rPr>
        <w:t xml:space="preserve">, </w:t>
      </w:r>
      <w:r w:rsidRPr="006906DC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2021. december 9.</w:t>
      </w:r>
    </w:p>
    <w:p w:rsidR="006906DC" w:rsidRPr="006906DC" w:rsidRDefault="006906DC" w:rsidP="006906DC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</w:t>
      </w:r>
      <w:r w:rsidRPr="006906DC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6906DC">
        <w:rPr>
          <w:rFonts w:ascii="Book Antiqua" w:hAnsi="Book Antiqua"/>
          <w:i/>
          <w:sz w:val="28"/>
          <w:szCs w:val="28"/>
        </w:rPr>
        <w:t>kultúrkirakat</w:t>
      </w:r>
      <w:proofErr w:type="spellEnd"/>
    </w:p>
    <w:p w:rsidR="009E2050" w:rsidRPr="009E2050" w:rsidRDefault="009E2050" w:rsidP="009E20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9E2050" w:rsidRPr="009E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887"/>
    <w:multiLevelType w:val="multilevel"/>
    <w:tmpl w:val="E30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8"/>
    <w:rsid w:val="003B68F8"/>
    <w:rsid w:val="006906DC"/>
    <w:rsid w:val="007D60BC"/>
    <w:rsid w:val="007F72F2"/>
    <w:rsid w:val="00856A28"/>
    <w:rsid w:val="009E2050"/>
    <w:rsid w:val="00D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DAA3"/>
  <w15:chartTrackingRefBased/>
  <w15:docId w15:val="{ECC6FC20-3F0C-40A8-B5B3-C962A96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849">
              <w:marLeft w:val="30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vassbele.com/author/beleolv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vassbele.com/tag/somogyi_and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lvassbele.files.wordpress.com/2021/12/jolsvai_marton-irma-bor24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2022-01-02T15:28:00Z</dcterms:created>
  <dcterms:modified xsi:type="dcterms:W3CDTF">2022-01-02T15:28:00Z</dcterms:modified>
</cp:coreProperties>
</file>